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D6E" w:rsidRDefault="00955D6E" w:rsidP="00955D6E">
      <w:pPr>
        <w:pStyle w:val="FrontPageTitle"/>
      </w:pPr>
    </w:p>
    <w:p w:rsidR="00955D6E" w:rsidRDefault="00955D6E" w:rsidP="00955D6E">
      <w:pPr>
        <w:pStyle w:val="FrontPageTitle"/>
      </w:pPr>
    </w:p>
    <w:p w:rsidR="00955D6E" w:rsidRPr="00EB3A24" w:rsidRDefault="00955D6E" w:rsidP="00955D6E">
      <w:pPr>
        <w:pStyle w:val="FrontPageTitle"/>
      </w:pPr>
      <w:r w:rsidRPr="00EB3A24">
        <w:t xml:space="preserve">SCOTTISH CAPITAL </w:t>
      </w:r>
    </w:p>
    <w:p w:rsidR="00955D6E" w:rsidRDefault="00955D6E" w:rsidP="00955D6E">
      <w:pPr>
        <w:pStyle w:val="FrontPageTitle"/>
      </w:pPr>
      <w:r w:rsidRPr="00EB3A24">
        <w:t>INVESTMENT MANUAL</w:t>
      </w:r>
    </w:p>
    <w:p w:rsidR="00955D6E" w:rsidRDefault="00955D6E" w:rsidP="00955D6E">
      <w:pPr>
        <w:pStyle w:val="FrontPageTitle"/>
      </w:pPr>
    </w:p>
    <w:p w:rsidR="00955D6E" w:rsidRDefault="00955D6E" w:rsidP="00955D6E">
      <w:pPr>
        <w:pStyle w:val="FrontPageTitle"/>
      </w:pPr>
      <w:r>
        <w:t>Risk Management</w:t>
      </w:r>
    </w:p>
    <w:p w:rsidR="00863426" w:rsidRPr="00863426" w:rsidRDefault="00863426" w:rsidP="00955D6E">
      <w:pPr>
        <w:pStyle w:val="FrontPageTitle"/>
        <w:rPr>
          <w:sz w:val="24"/>
          <w:szCs w:val="24"/>
        </w:rPr>
      </w:pPr>
    </w:p>
    <w:p w:rsidR="00955D6E" w:rsidRDefault="00863426" w:rsidP="00955D6E">
      <w:pPr>
        <w:pStyle w:val="FrontPageTitle"/>
      </w:pPr>
      <w:r w:rsidRPr="00863426">
        <w:rPr>
          <w:noProof/>
          <w:lang w:eastAsia="en-GB"/>
        </w:rPr>
        <w:drawing>
          <wp:inline distT="0" distB="0" distL="0" distR="0">
            <wp:extent cx="5486400" cy="3200400"/>
            <wp:effectExtent l="0" t="19050" r="0" b="19050"/>
            <wp:docPr id="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55D6E" w:rsidRPr="002D22F1" w:rsidRDefault="00955D6E" w:rsidP="00955D6E">
      <w:pPr>
        <w:pStyle w:val="FrontPageTitle"/>
        <w:jc w:val="center"/>
        <w:rPr>
          <w:color w:val="FF0000"/>
        </w:rPr>
      </w:pPr>
    </w:p>
    <w:p w:rsidR="00955D6E" w:rsidRDefault="00955D6E" w:rsidP="00EB639F">
      <w:pPr>
        <w:pStyle w:val="Standardparagraph"/>
        <w:rPr>
          <w:rFonts w:asciiTheme="minorHAnsi" w:eastAsiaTheme="minorHAnsi" w:hAnsiTheme="minorHAnsi" w:cstheme="minorBidi"/>
          <w:sz w:val="22"/>
          <w:szCs w:val="22"/>
        </w:rPr>
        <w:sectPr w:rsidR="00955D6E" w:rsidSect="002E4908">
          <w:footerReference w:type="default" r:id="rId13"/>
          <w:pgSz w:w="11906" w:h="16838"/>
          <w:pgMar w:top="1440" w:right="1440" w:bottom="1440" w:left="1440" w:header="708" w:footer="708" w:gutter="0"/>
          <w:cols w:space="708"/>
          <w:docGrid w:linePitch="360"/>
        </w:sectPr>
      </w:pPr>
    </w:p>
    <w:p w:rsidR="002A534E" w:rsidRPr="00EB639F" w:rsidRDefault="00EB639F" w:rsidP="00EB639F">
      <w:pPr>
        <w:pStyle w:val="Heading1"/>
      </w:pPr>
      <w:bookmarkStart w:id="0" w:name="_Toc415492000"/>
      <w:r>
        <w:lastRenderedPageBreak/>
        <w:t>Introduction</w:t>
      </w:r>
      <w:bookmarkEnd w:id="0"/>
    </w:p>
    <w:p w:rsidR="0078454A" w:rsidRDefault="007402EF" w:rsidP="00EB639F">
      <w:pPr>
        <w:pStyle w:val="Standardparagraph"/>
      </w:pPr>
      <w:r w:rsidRPr="007402EF">
        <w:t>Risk management is a structured approach to identifying, assessing and controlling risks that emerge during the course of the policy, programme or project lifecycle</w:t>
      </w:r>
      <w:r>
        <w:t>.  It</w:t>
      </w:r>
      <w:r w:rsidRPr="007402EF">
        <w:t xml:space="preserve"> </w:t>
      </w:r>
      <w:r w:rsidR="007A5ADA" w:rsidRPr="007A5ADA">
        <w:t>is a critical and cont</w:t>
      </w:r>
      <w:r w:rsidR="0078454A">
        <w:t xml:space="preserve">inuous process </w:t>
      </w:r>
      <w:r w:rsidR="0078454A" w:rsidRPr="007A5ADA">
        <w:t xml:space="preserve">throughout the </w:t>
      </w:r>
      <w:r w:rsidR="0078454A">
        <w:t xml:space="preserve">planning, procurement and implementation </w:t>
      </w:r>
      <w:r w:rsidR="0078454A" w:rsidRPr="007A5ADA">
        <w:t>journey</w:t>
      </w:r>
      <w:r w:rsidR="0078454A">
        <w:t xml:space="preserve"> of a project.</w:t>
      </w:r>
    </w:p>
    <w:p w:rsidR="00AF47EB" w:rsidRDefault="00AF47EB" w:rsidP="00EB639F">
      <w:pPr>
        <w:pStyle w:val="Standardparagraph"/>
      </w:pPr>
      <w:r>
        <w:t xml:space="preserve">Project risks should be recorded and managed through the use of a project risk register which will be developed by the project team and overseen by the Senior Responsible Officer </w:t>
      </w:r>
      <w:r w:rsidR="001A75D2">
        <w:t xml:space="preserve">and/or Project Board </w:t>
      </w:r>
      <w:r>
        <w:t>for the project.</w:t>
      </w:r>
    </w:p>
    <w:p w:rsidR="0078454A" w:rsidRPr="007A5ADA" w:rsidRDefault="00AF47EB" w:rsidP="00EB639F">
      <w:pPr>
        <w:pStyle w:val="Standardparagraph"/>
      </w:pPr>
      <w:r>
        <w:rPr>
          <w:lang w:eastAsia="en-GB"/>
        </w:rPr>
        <w:t>T</w:t>
      </w:r>
      <w:r w:rsidR="0078454A">
        <w:rPr>
          <w:lang w:eastAsia="en-GB"/>
        </w:rPr>
        <w:t>he project risk register will mature from an overview of a project’s main strategic</w:t>
      </w:r>
      <w:r w:rsidR="0065488A">
        <w:rPr>
          <w:lang w:eastAsia="en-GB"/>
        </w:rPr>
        <w:t>, organisational and service</w:t>
      </w:r>
      <w:r w:rsidR="0078454A">
        <w:rPr>
          <w:lang w:eastAsia="en-GB"/>
        </w:rPr>
        <w:t xml:space="preserve"> risks </w:t>
      </w:r>
      <w:r>
        <w:rPr>
          <w:lang w:eastAsia="en-GB"/>
        </w:rPr>
        <w:t xml:space="preserve">at Initial Agreement stage </w:t>
      </w:r>
      <w:r w:rsidR="0078454A">
        <w:rPr>
          <w:lang w:eastAsia="en-GB"/>
        </w:rPr>
        <w:t>towards a more specific and detailed understanding of a project’s design and construction related risks</w:t>
      </w:r>
      <w:r>
        <w:rPr>
          <w:lang w:eastAsia="en-GB"/>
        </w:rPr>
        <w:t xml:space="preserve"> between OBC and FBC</w:t>
      </w:r>
      <w:r w:rsidR="0078454A">
        <w:rPr>
          <w:lang w:eastAsia="en-GB"/>
        </w:rPr>
        <w:t xml:space="preserve">.  The project risk contingency will </w:t>
      </w:r>
      <w:r>
        <w:rPr>
          <w:lang w:eastAsia="en-GB"/>
        </w:rPr>
        <w:t xml:space="preserve">also </w:t>
      </w:r>
      <w:r w:rsidR="0078454A">
        <w:rPr>
          <w:lang w:eastAsia="en-GB"/>
        </w:rPr>
        <w:t xml:space="preserve">develop from an optimism bias allowance </w:t>
      </w:r>
      <w:r>
        <w:rPr>
          <w:lang w:eastAsia="en-GB"/>
        </w:rPr>
        <w:t xml:space="preserve">at Initial Agreement stage </w:t>
      </w:r>
      <w:r w:rsidR="0078454A">
        <w:rPr>
          <w:lang w:eastAsia="en-GB"/>
        </w:rPr>
        <w:t xml:space="preserve">towards a fully </w:t>
      </w:r>
      <w:proofErr w:type="spellStart"/>
      <w:r w:rsidR="0078454A">
        <w:rPr>
          <w:lang w:eastAsia="en-GB"/>
        </w:rPr>
        <w:t>costed</w:t>
      </w:r>
      <w:proofErr w:type="spellEnd"/>
      <w:r w:rsidR="0078454A">
        <w:rPr>
          <w:lang w:eastAsia="en-GB"/>
        </w:rPr>
        <w:t xml:space="preserve"> risk contingency</w:t>
      </w:r>
      <w:r>
        <w:rPr>
          <w:lang w:eastAsia="en-GB"/>
        </w:rPr>
        <w:t xml:space="preserve"> by the time of submission of the FBC</w:t>
      </w:r>
      <w:r w:rsidR="0078454A">
        <w:rPr>
          <w:lang w:eastAsia="en-GB"/>
        </w:rPr>
        <w:t xml:space="preserve">.  </w:t>
      </w:r>
    </w:p>
    <w:p w:rsidR="007A5ADA" w:rsidRPr="00EB639F" w:rsidRDefault="000B1421" w:rsidP="00EB639F">
      <w:pPr>
        <w:pStyle w:val="Heading2"/>
      </w:pPr>
      <w:bookmarkStart w:id="1" w:name="_Toc408559404"/>
      <w:bookmarkStart w:id="2" w:name="_Toc415492001"/>
      <w:r w:rsidRPr="00EB639F">
        <w:t>Risks &amp; Issues</w:t>
      </w:r>
      <w:bookmarkEnd w:id="1"/>
      <w:bookmarkEnd w:id="2"/>
    </w:p>
    <w:p w:rsidR="007A5ADA" w:rsidRPr="007A5ADA" w:rsidRDefault="007A5ADA" w:rsidP="00EB639F">
      <w:pPr>
        <w:pStyle w:val="Standardparagraph"/>
      </w:pPr>
      <w:r w:rsidRPr="007A5ADA">
        <w:t xml:space="preserve">A </w:t>
      </w:r>
      <w:r w:rsidR="000B1421">
        <w:t>‘R</w:t>
      </w:r>
      <w:r w:rsidRPr="007A5ADA">
        <w:t>isk</w:t>
      </w:r>
      <w:r w:rsidR="000B1421">
        <w:t>’</w:t>
      </w:r>
      <w:r w:rsidRPr="007A5ADA">
        <w:t xml:space="preserve"> can be defined as a</w:t>
      </w:r>
      <w:r w:rsidR="00AF47EB">
        <w:t xml:space="preserve"> fact</w:t>
      </w:r>
      <w:r w:rsidR="001A75D2">
        <w:t>or that can affect the achievement</w:t>
      </w:r>
      <w:r w:rsidR="00AF47EB">
        <w:t xml:space="preserve"> of an </w:t>
      </w:r>
      <w:r w:rsidRPr="007A5ADA">
        <w:t>outcome (eith</w:t>
      </w:r>
      <w:r w:rsidR="001A75D2">
        <w:t>er positive or negative)</w:t>
      </w:r>
      <w:r w:rsidR="00032F4F">
        <w:t xml:space="preserve"> </w:t>
      </w:r>
      <w:r w:rsidRPr="007A5ADA">
        <w:t>at a future date.</w:t>
      </w:r>
    </w:p>
    <w:p w:rsidR="007A5ADA" w:rsidRPr="007A5ADA" w:rsidRDefault="007A5ADA" w:rsidP="00EB639F">
      <w:pPr>
        <w:pStyle w:val="Standardparagraph"/>
      </w:pPr>
      <w:r w:rsidRPr="007A5ADA">
        <w:t xml:space="preserve">An </w:t>
      </w:r>
      <w:r w:rsidR="000B1421">
        <w:t>‘I</w:t>
      </w:r>
      <w:r w:rsidRPr="007A5ADA">
        <w:t>ssue</w:t>
      </w:r>
      <w:r w:rsidR="000B1421">
        <w:t>’</w:t>
      </w:r>
      <w:r w:rsidRPr="007A5ADA">
        <w:t xml:space="preserve"> is a factor affecting the development or the implementation of </w:t>
      </w:r>
      <w:r w:rsidR="00032F4F">
        <w:t xml:space="preserve">a project </w:t>
      </w:r>
      <w:r w:rsidRPr="007A5ADA">
        <w:t>at the present time. Actions are therefore immediately put in place to resolve the issue due to its urgency.</w:t>
      </w:r>
    </w:p>
    <w:p w:rsidR="007A5ADA" w:rsidRPr="007A5ADA" w:rsidRDefault="00032F4F" w:rsidP="00EB639F">
      <w:pPr>
        <w:pStyle w:val="Standardparagraph"/>
      </w:pPr>
      <w:r>
        <w:t>All projects</w:t>
      </w:r>
      <w:r w:rsidR="007A5ADA" w:rsidRPr="007A5ADA">
        <w:t xml:space="preserve"> will contain risks that may impact on their progress therefore it is important to identify and assess risks in the present so that </w:t>
      </w:r>
      <w:r w:rsidR="00EB639F">
        <w:t>they</w:t>
      </w:r>
      <w:r w:rsidR="003835D1">
        <w:t xml:space="preserve"> can be managed to prevent them</w:t>
      </w:r>
      <w:r w:rsidR="007A5ADA" w:rsidRPr="007A5ADA">
        <w:t xml:space="preserve"> from becoming an issue.</w:t>
      </w:r>
    </w:p>
    <w:p w:rsidR="007A5ADA" w:rsidRPr="007A5ADA" w:rsidRDefault="007A5ADA" w:rsidP="009724D8">
      <w:pPr>
        <w:pStyle w:val="Heading2"/>
        <w:rPr>
          <w:rFonts w:eastAsia="Times New Roman"/>
          <w:lang w:eastAsia="en-GB"/>
        </w:rPr>
      </w:pPr>
      <w:bookmarkStart w:id="3" w:name="_Toc408559405"/>
      <w:bookmarkStart w:id="4" w:name="_Toc415492002"/>
      <w:r w:rsidRPr="007A5ADA">
        <w:rPr>
          <w:rFonts w:eastAsia="Times New Roman"/>
          <w:lang w:eastAsia="en-GB"/>
        </w:rPr>
        <w:t>Why is risk management important?</w:t>
      </w:r>
      <w:bookmarkEnd w:id="3"/>
      <w:bookmarkEnd w:id="4"/>
    </w:p>
    <w:p w:rsidR="007A5ADA" w:rsidRPr="007A5ADA" w:rsidRDefault="007A5ADA" w:rsidP="007A5ADA">
      <w:pPr>
        <w:shd w:val="clear" w:color="auto" w:fill="FFFFFF"/>
        <w:spacing w:before="100" w:beforeAutospacing="1" w:after="240" w:line="240" w:lineRule="auto"/>
        <w:rPr>
          <w:rFonts w:ascii="Arial" w:eastAsia="Times New Roman" w:hAnsi="Arial" w:cs="Arial"/>
          <w:color w:val="000000"/>
          <w:sz w:val="24"/>
          <w:szCs w:val="24"/>
          <w:lang w:eastAsia="en-GB"/>
        </w:rPr>
      </w:pPr>
      <w:r w:rsidRPr="007A5ADA">
        <w:rPr>
          <w:rFonts w:ascii="Arial" w:eastAsia="Times New Roman" w:hAnsi="Arial" w:cs="Arial"/>
          <w:color w:val="000000"/>
          <w:sz w:val="24"/>
          <w:szCs w:val="24"/>
          <w:lang w:eastAsia="en-GB"/>
        </w:rPr>
        <w:t>Effect</w:t>
      </w:r>
      <w:r w:rsidR="00EB639F">
        <w:rPr>
          <w:rFonts w:ascii="Arial" w:eastAsia="Times New Roman" w:hAnsi="Arial" w:cs="Arial"/>
          <w:color w:val="000000"/>
          <w:sz w:val="24"/>
          <w:szCs w:val="24"/>
          <w:lang w:eastAsia="en-GB"/>
        </w:rPr>
        <w:t>ive management of risk helps</w:t>
      </w:r>
      <w:r w:rsidRPr="007A5ADA">
        <w:rPr>
          <w:rFonts w:ascii="Arial" w:eastAsia="Times New Roman" w:hAnsi="Arial" w:cs="Arial"/>
          <w:color w:val="000000"/>
          <w:sz w:val="24"/>
          <w:szCs w:val="24"/>
          <w:lang w:eastAsia="en-GB"/>
        </w:rPr>
        <w:t xml:space="preserve"> to </w:t>
      </w:r>
      <w:r w:rsidR="00EB639F">
        <w:rPr>
          <w:rFonts w:ascii="Arial" w:eastAsia="Times New Roman" w:hAnsi="Arial" w:cs="Arial"/>
          <w:color w:val="000000"/>
          <w:sz w:val="24"/>
          <w:szCs w:val="24"/>
          <w:lang w:eastAsia="en-GB"/>
        </w:rPr>
        <w:t xml:space="preserve">promote </w:t>
      </w:r>
      <w:r w:rsidRPr="007A5ADA">
        <w:rPr>
          <w:rFonts w:ascii="Arial" w:eastAsia="Times New Roman" w:hAnsi="Arial" w:cs="Arial"/>
          <w:color w:val="000000"/>
          <w:sz w:val="24"/>
          <w:szCs w:val="24"/>
          <w:lang w:eastAsia="en-GB"/>
        </w:rPr>
        <w:t>innovation and improve performance by contributing to:</w:t>
      </w:r>
    </w:p>
    <w:p w:rsidR="007A5ADA" w:rsidRPr="007A5ADA" w:rsidRDefault="007A5ADA" w:rsidP="007402EF">
      <w:pPr>
        <w:pStyle w:val="Standardbullet"/>
      </w:pPr>
      <w:r w:rsidRPr="007A5ADA">
        <w:t>Increased certainty and fewer surprises</w:t>
      </w:r>
    </w:p>
    <w:p w:rsidR="007A5ADA" w:rsidRPr="007A5ADA" w:rsidRDefault="007A5ADA" w:rsidP="007402EF">
      <w:pPr>
        <w:pStyle w:val="Standardbullet"/>
      </w:pPr>
      <w:r w:rsidRPr="007A5ADA">
        <w:t>Better service delivery</w:t>
      </w:r>
    </w:p>
    <w:p w:rsidR="007A5ADA" w:rsidRPr="007A5ADA" w:rsidRDefault="007A5ADA" w:rsidP="007402EF">
      <w:pPr>
        <w:pStyle w:val="Standardbullet"/>
      </w:pPr>
      <w:r w:rsidRPr="007A5ADA">
        <w:lastRenderedPageBreak/>
        <w:t>More effective management of change</w:t>
      </w:r>
    </w:p>
    <w:p w:rsidR="007A5ADA" w:rsidRPr="007A5ADA" w:rsidRDefault="007A5ADA" w:rsidP="007402EF">
      <w:pPr>
        <w:pStyle w:val="Standardbullet"/>
      </w:pPr>
      <w:r w:rsidRPr="007A5ADA">
        <w:t>More efficient use of resources</w:t>
      </w:r>
    </w:p>
    <w:p w:rsidR="007A5ADA" w:rsidRPr="007A5ADA" w:rsidRDefault="007A5ADA" w:rsidP="007402EF">
      <w:pPr>
        <w:pStyle w:val="Standardbullet"/>
      </w:pPr>
      <w:r w:rsidRPr="007A5ADA">
        <w:t>Better management at all levels through improved decision making</w:t>
      </w:r>
    </w:p>
    <w:p w:rsidR="007A5ADA" w:rsidRPr="007A5ADA" w:rsidRDefault="007A5ADA" w:rsidP="007402EF">
      <w:pPr>
        <w:pStyle w:val="Standardbullet"/>
      </w:pPr>
      <w:r w:rsidRPr="007A5ADA">
        <w:t>Reduced waste</w:t>
      </w:r>
    </w:p>
    <w:p w:rsidR="007A5ADA" w:rsidRPr="007A5ADA" w:rsidRDefault="007A5ADA" w:rsidP="007402EF">
      <w:pPr>
        <w:pStyle w:val="Standardbullet"/>
      </w:pPr>
      <w:r w:rsidRPr="007A5ADA">
        <w:t>Innovation</w:t>
      </w:r>
    </w:p>
    <w:p w:rsidR="007A5ADA" w:rsidRPr="007A5ADA" w:rsidRDefault="007A5ADA" w:rsidP="007402EF">
      <w:pPr>
        <w:pStyle w:val="Standardbullet"/>
      </w:pPr>
      <w:r w:rsidRPr="007A5ADA">
        <w:t>Management of contingent and maintenance activities</w:t>
      </w:r>
    </w:p>
    <w:p w:rsidR="00147D52" w:rsidRDefault="00147D52" w:rsidP="007A5ADA">
      <w:pPr>
        <w:shd w:val="clear" w:color="auto" w:fill="FFFFFF"/>
        <w:spacing w:after="96" w:line="240" w:lineRule="auto"/>
        <w:outlineLvl w:val="4"/>
        <w:rPr>
          <w:rFonts w:ascii="Arial" w:eastAsia="Times New Roman" w:hAnsi="Arial" w:cs="Arial"/>
          <w:b/>
          <w:bCs/>
          <w:color w:val="335183"/>
          <w:sz w:val="24"/>
          <w:szCs w:val="24"/>
          <w:lang w:eastAsia="en-GB"/>
        </w:rPr>
      </w:pPr>
    </w:p>
    <w:p w:rsidR="007A5ADA" w:rsidRPr="007A5ADA" w:rsidRDefault="007A5ADA" w:rsidP="00EB639F">
      <w:pPr>
        <w:pStyle w:val="Heading1"/>
        <w:rPr>
          <w:rFonts w:eastAsia="Times New Roman"/>
          <w:lang w:eastAsia="en-GB"/>
        </w:rPr>
      </w:pPr>
      <w:bookmarkStart w:id="5" w:name="_Toc408559406"/>
      <w:bookmarkStart w:id="6" w:name="_Toc415492003"/>
      <w:r w:rsidRPr="007A5ADA">
        <w:rPr>
          <w:rFonts w:eastAsia="Times New Roman"/>
          <w:lang w:eastAsia="en-GB"/>
        </w:rPr>
        <w:t>Risk Management Process</w:t>
      </w:r>
      <w:bookmarkEnd w:id="5"/>
      <w:bookmarkEnd w:id="6"/>
    </w:p>
    <w:p w:rsidR="007A5ADA" w:rsidRDefault="007A5ADA" w:rsidP="003D65EC">
      <w:pPr>
        <w:pStyle w:val="Standardparagraph"/>
        <w:rPr>
          <w:lang w:eastAsia="en-GB"/>
        </w:rPr>
      </w:pPr>
      <w:r w:rsidRPr="007A5ADA">
        <w:rPr>
          <w:lang w:eastAsia="en-GB"/>
        </w:rPr>
        <w:t>Risk management is a planned and systematic process consisting of 4 defined stages:</w:t>
      </w:r>
    </w:p>
    <w:p w:rsidR="003835D1" w:rsidRPr="007A5ADA" w:rsidRDefault="003835D1" w:rsidP="008B68D0">
      <w:pPr>
        <w:pStyle w:val="Standardparagraph"/>
        <w:rPr>
          <w:lang w:eastAsia="en-GB"/>
        </w:rPr>
      </w:pPr>
      <w:r w:rsidRPr="003835D1">
        <w:rPr>
          <w:noProof/>
          <w:lang w:eastAsia="en-GB"/>
        </w:rPr>
        <w:drawing>
          <wp:inline distT="0" distB="0" distL="0" distR="0">
            <wp:extent cx="5486400" cy="3200400"/>
            <wp:effectExtent l="0" t="19050" r="0" b="19050"/>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0B1421" w:rsidRPr="008B68D0" w:rsidRDefault="00384D5D" w:rsidP="008B68D0">
      <w:pPr>
        <w:pStyle w:val="Standardparagraph"/>
        <w:rPr>
          <w:lang w:eastAsia="en-GB"/>
        </w:rPr>
      </w:pPr>
      <w:r w:rsidRPr="00032F4F">
        <w:rPr>
          <w:lang w:eastAsia="en-GB"/>
        </w:rPr>
        <w:t xml:space="preserve">Each of the above </w:t>
      </w:r>
      <w:r w:rsidR="008B68D0">
        <w:rPr>
          <w:lang w:eastAsia="en-GB"/>
        </w:rPr>
        <w:t>stages is described in more detail below:</w:t>
      </w:r>
    </w:p>
    <w:p w:rsidR="007A5ADA" w:rsidRPr="007A5ADA" w:rsidRDefault="007A5ADA" w:rsidP="009724D8">
      <w:pPr>
        <w:pStyle w:val="Heading2"/>
        <w:rPr>
          <w:rFonts w:eastAsia="Times New Roman"/>
          <w:lang w:eastAsia="en-GB"/>
        </w:rPr>
      </w:pPr>
      <w:bookmarkStart w:id="7" w:name="_Toc408559407"/>
      <w:bookmarkStart w:id="8" w:name="_Toc415492004"/>
      <w:r w:rsidRPr="007A5ADA">
        <w:rPr>
          <w:rFonts w:eastAsia="Times New Roman"/>
          <w:lang w:eastAsia="en-GB"/>
        </w:rPr>
        <w:t>Risk Identification</w:t>
      </w:r>
      <w:bookmarkEnd w:id="7"/>
      <w:bookmarkEnd w:id="8"/>
    </w:p>
    <w:p w:rsidR="007A5ADA" w:rsidRDefault="007A5ADA" w:rsidP="008B68D0">
      <w:pPr>
        <w:pStyle w:val="Standardparagraph"/>
        <w:rPr>
          <w:lang w:eastAsia="en-GB"/>
        </w:rPr>
      </w:pPr>
      <w:r w:rsidRPr="007A5ADA">
        <w:rPr>
          <w:lang w:eastAsia="en-GB"/>
        </w:rPr>
        <w:t xml:space="preserve">The initial identification of risks and issues with the potential to impact on </w:t>
      </w:r>
      <w:r w:rsidR="003835D1">
        <w:rPr>
          <w:lang w:eastAsia="en-GB"/>
        </w:rPr>
        <w:t>the achievement of the p</w:t>
      </w:r>
      <w:r w:rsidR="00B048EB">
        <w:rPr>
          <w:lang w:eastAsia="en-GB"/>
        </w:rPr>
        <w:t xml:space="preserve">roject’s </w:t>
      </w:r>
      <w:r w:rsidRPr="007A5ADA">
        <w:rPr>
          <w:lang w:eastAsia="en-GB"/>
        </w:rPr>
        <w:t xml:space="preserve">objectives </w:t>
      </w:r>
      <w:r w:rsidR="003835D1">
        <w:rPr>
          <w:lang w:eastAsia="en-GB"/>
        </w:rPr>
        <w:t xml:space="preserve">and benefits realisation </w:t>
      </w:r>
      <w:r w:rsidRPr="007A5ADA">
        <w:rPr>
          <w:lang w:eastAsia="en-GB"/>
        </w:rPr>
        <w:t>is esse</w:t>
      </w:r>
      <w:r w:rsidR="008B68D0">
        <w:rPr>
          <w:lang w:eastAsia="en-GB"/>
        </w:rPr>
        <w:t>ntial in terms of understanding the actions needing to be undertaken to ensure the success of a project.</w:t>
      </w:r>
    </w:p>
    <w:p w:rsidR="008B68D0" w:rsidRDefault="008B68D0" w:rsidP="008B68D0">
      <w:pPr>
        <w:pStyle w:val="Standardparagraph"/>
        <w:rPr>
          <w:lang w:eastAsia="en-GB"/>
        </w:rPr>
      </w:pPr>
      <w:r>
        <w:rPr>
          <w:lang w:eastAsia="en-GB"/>
        </w:rPr>
        <w:lastRenderedPageBreak/>
        <w:t>Risks fall into three main categories:</w:t>
      </w:r>
    </w:p>
    <w:p w:rsidR="008B68D0" w:rsidRDefault="008B68D0" w:rsidP="008B68D0">
      <w:pPr>
        <w:pStyle w:val="Standardbullet"/>
      </w:pPr>
      <w:r>
        <w:t>Business related risks which remain with the public sector and should never be transferred.</w:t>
      </w:r>
    </w:p>
    <w:p w:rsidR="008B68D0" w:rsidRDefault="008B68D0" w:rsidP="008B68D0">
      <w:pPr>
        <w:pStyle w:val="Standardbullet"/>
      </w:pPr>
      <w:r>
        <w:t>Service / Project risks which mainly occur during the design, build and operational phases of a project and may be shared between the public and private sectors.</w:t>
      </w:r>
    </w:p>
    <w:p w:rsidR="008B68D0" w:rsidRPr="007A5ADA" w:rsidRDefault="008B68D0" w:rsidP="008B68D0">
      <w:pPr>
        <w:pStyle w:val="Standardbullet"/>
      </w:pPr>
      <w:r>
        <w:t>External risks which relate to society and the impact of the economy as a whole.</w:t>
      </w:r>
    </w:p>
    <w:p w:rsidR="005C236B" w:rsidRDefault="003835D1" w:rsidP="008B68D0">
      <w:pPr>
        <w:pStyle w:val="Standardparagraph"/>
        <w:rPr>
          <w:lang w:eastAsia="en-GB"/>
        </w:rPr>
      </w:pPr>
      <w:r>
        <w:rPr>
          <w:lang w:eastAsia="en-GB"/>
        </w:rPr>
        <w:t>F</w:t>
      </w:r>
      <w:r w:rsidR="008B68D0">
        <w:rPr>
          <w:lang w:eastAsia="en-GB"/>
        </w:rPr>
        <w:t>acilitated, multi-stakeholder workshop</w:t>
      </w:r>
      <w:r>
        <w:rPr>
          <w:lang w:eastAsia="en-GB"/>
        </w:rPr>
        <w:t xml:space="preserve">s are useful tools </w:t>
      </w:r>
      <w:r w:rsidR="008B68D0">
        <w:rPr>
          <w:lang w:eastAsia="en-GB"/>
        </w:rPr>
        <w:t xml:space="preserve">to </w:t>
      </w:r>
      <w:r w:rsidR="00CC28A5">
        <w:rPr>
          <w:lang w:eastAsia="en-GB"/>
        </w:rPr>
        <w:t>identify the risks associated with a project</w:t>
      </w:r>
      <w:r>
        <w:rPr>
          <w:lang w:eastAsia="en-GB"/>
        </w:rPr>
        <w:t>.  A</w:t>
      </w:r>
      <w:r w:rsidR="008B68D0">
        <w:rPr>
          <w:lang w:eastAsia="en-GB"/>
        </w:rPr>
        <w:t>s the</w:t>
      </w:r>
      <w:r w:rsidR="00CC28A5">
        <w:rPr>
          <w:lang w:eastAsia="en-GB"/>
        </w:rPr>
        <w:t>y</w:t>
      </w:r>
      <w:r w:rsidR="007A5ADA" w:rsidRPr="007A5ADA">
        <w:rPr>
          <w:lang w:eastAsia="en-GB"/>
        </w:rPr>
        <w:t xml:space="preserve"> are identified they should be documented in</w:t>
      </w:r>
      <w:r w:rsidR="00B048EB">
        <w:rPr>
          <w:lang w:eastAsia="en-GB"/>
        </w:rPr>
        <w:t xml:space="preserve"> a project risk register similar in style to the one outlined below.</w:t>
      </w:r>
    </w:p>
    <w:p w:rsidR="005C236B" w:rsidRPr="007A5ADA" w:rsidRDefault="005C236B" w:rsidP="005C236B">
      <w:pPr>
        <w:pStyle w:val="Standardparagraph"/>
        <w:rPr>
          <w:lang w:eastAsia="en-GB"/>
        </w:rPr>
      </w:pPr>
      <w:r>
        <w:rPr>
          <w:lang w:eastAsia="en-GB"/>
        </w:rPr>
        <w:t xml:space="preserve">The ownership of each risk must also </w:t>
      </w:r>
      <w:r w:rsidRPr="007A5ADA">
        <w:rPr>
          <w:lang w:eastAsia="en-GB"/>
        </w:rPr>
        <w:t xml:space="preserve">be clearly defined within the risk register and agreed with the individual owners. </w:t>
      </w:r>
      <w:r>
        <w:rPr>
          <w:lang w:eastAsia="en-GB"/>
        </w:rPr>
        <w:t xml:space="preserve"> </w:t>
      </w:r>
      <w:r w:rsidRPr="007A5ADA">
        <w:rPr>
          <w:lang w:eastAsia="en-GB"/>
        </w:rPr>
        <w:t>This will ensure understanding of roles, responsibilities and ultimate accountability.</w:t>
      </w:r>
      <w:r>
        <w:rPr>
          <w:lang w:eastAsia="en-GB"/>
        </w:rPr>
        <w:t xml:space="preserve"> </w:t>
      </w:r>
      <w:r w:rsidRPr="007A5ADA">
        <w:rPr>
          <w:lang w:eastAsia="en-GB"/>
        </w:rPr>
        <w:t xml:space="preserve"> Individual owners should have the capability, authority and experience to deal with risk/s allocated to them.</w:t>
      </w:r>
    </w:p>
    <w:p w:rsidR="00032F4F" w:rsidRDefault="00B048EB" w:rsidP="008B68D0">
      <w:pPr>
        <w:pStyle w:val="Standardparagraph"/>
        <w:rPr>
          <w:lang w:eastAsia="en-GB"/>
        </w:rPr>
      </w:pPr>
      <w:r>
        <w:rPr>
          <w:lang w:eastAsia="en-GB"/>
        </w:rPr>
        <w:t xml:space="preserve">It should also include an indication of whether the risk will have a financial </w:t>
      </w:r>
      <w:r w:rsidR="0065488A">
        <w:rPr>
          <w:lang w:eastAsia="en-GB"/>
        </w:rPr>
        <w:t>and/or</w:t>
      </w:r>
      <w:r>
        <w:rPr>
          <w:lang w:eastAsia="en-GB"/>
        </w:rPr>
        <w:t xml:space="preserve"> non-financial impact on the project, or is unquantifiable </w:t>
      </w:r>
      <w:r w:rsidR="000F5084">
        <w:rPr>
          <w:lang w:eastAsia="en-GB"/>
        </w:rPr>
        <w:t>at that</w:t>
      </w:r>
      <w:r>
        <w:rPr>
          <w:lang w:eastAsia="en-GB"/>
        </w:rPr>
        <w:t xml:space="preserve"> stage of </w:t>
      </w:r>
      <w:r w:rsidR="003835D1">
        <w:rPr>
          <w:lang w:eastAsia="en-GB"/>
        </w:rPr>
        <w:t>the</w:t>
      </w:r>
      <w:r>
        <w:rPr>
          <w:lang w:eastAsia="en-GB"/>
        </w:rPr>
        <w:t xml:space="preserve"> project</w:t>
      </w:r>
      <w:r w:rsidR="00032F4F">
        <w:rPr>
          <w:lang w:eastAsia="en-GB"/>
        </w:rPr>
        <w:t>:</w:t>
      </w:r>
    </w:p>
    <w:tbl>
      <w:tblPr>
        <w:tblW w:w="9840" w:type="dxa"/>
        <w:tblInd w:w="-318" w:type="dxa"/>
        <w:tblLook w:val="04A0"/>
      </w:tblPr>
      <w:tblGrid>
        <w:gridCol w:w="581"/>
        <w:gridCol w:w="1138"/>
        <w:gridCol w:w="1490"/>
        <w:gridCol w:w="1266"/>
        <w:gridCol w:w="1016"/>
        <w:gridCol w:w="755"/>
        <w:gridCol w:w="1168"/>
        <w:gridCol w:w="768"/>
        <w:gridCol w:w="618"/>
        <w:gridCol w:w="1040"/>
      </w:tblGrid>
      <w:tr w:rsidR="00567EB3" w:rsidRPr="00567EB3" w:rsidTr="00567EB3">
        <w:trPr>
          <w:trHeight w:val="600"/>
        </w:trPr>
        <w:tc>
          <w:tcPr>
            <w:tcW w:w="0" w:type="auto"/>
            <w:gridSpan w:val="3"/>
            <w:tcBorders>
              <w:top w:val="single" w:sz="8" w:space="0" w:color="auto"/>
              <w:left w:val="single" w:sz="8" w:space="0" w:color="auto"/>
              <w:right w:val="single" w:sz="4" w:space="0" w:color="auto"/>
            </w:tcBorders>
            <w:shd w:val="clear" w:color="000000" w:fill="31849B" w:themeFill="accent5" w:themeFillShade="BF"/>
            <w:noWrap/>
            <w:vAlign w:val="center"/>
            <w:hideMark/>
          </w:tcPr>
          <w:p w:rsidR="00567EB3" w:rsidRPr="00567EB3" w:rsidRDefault="00567EB3" w:rsidP="00B048EB">
            <w:pPr>
              <w:spacing w:after="0" w:line="240" w:lineRule="auto"/>
              <w:jc w:val="center"/>
              <w:rPr>
                <w:rFonts w:ascii="Arial" w:eastAsia="Times New Roman" w:hAnsi="Arial" w:cs="Arial"/>
                <w:b/>
                <w:bCs/>
                <w:color w:val="FFFFFF" w:themeColor="background1"/>
                <w:sz w:val="20"/>
                <w:szCs w:val="20"/>
                <w:lang w:eastAsia="en-GB"/>
              </w:rPr>
            </w:pPr>
            <w:r w:rsidRPr="00567EB3">
              <w:rPr>
                <w:rFonts w:ascii="Arial" w:eastAsia="Times New Roman" w:hAnsi="Arial" w:cs="Arial"/>
                <w:b/>
                <w:bCs/>
                <w:color w:val="FFFFFF" w:themeColor="background1"/>
                <w:sz w:val="20"/>
                <w:szCs w:val="20"/>
                <w:lang w:eastAsia="en-GB"/>
              </w:rPr>
              <w:t>1.  Identification</w:t>
            </w:r>
          </w:p>
        </w:tc>
        <w:tc>
          <w:tcPr>
            <w:tcW w:w="0" w:type="auto"/>
            <w:gridSpan w:val="3"/>
            <w:tcBorders>
              <w:top w:val="single" w:sz="8" w:space="0" w:color="auto"/>
              <w:left w:val="nil"/>
              <w:right w:val="single" w:sz="4" w:space="0" w:color="auto"/>
            </w:tcBorders>
            <w:shd w:val="clear" w:color="000000" w:fill="31849B" w:themeFill="accent5" w:themeFillShade="BF"/>
            <w:noWrap/>
            <w:vAlign w:val="center"/>
            <w:hideMark/>
          </w:tcPr>
          <w:p w:rsidR="00567EB3" w:rsidRPr="00567EB3" w:rsidRDefault="00567EB3" w:rsidP="00B048EB">
            <w:pPr>
              <w:spacing w:after="0" w:line="240" w:lineRule="auto"/>
              <w:jc w:val="center"/>
              <w:rPr>
                <w:rFonts w:ascii="Arial" w:eastAsia="Times New Roman" w:hAnsi="Arial" w:cs="Arial"/>
                <w:b/>
                <w:bCs/>
                <w:color w:val="FFFFFF" w:themeColor="background1"/>
                <w:sz w:val="20"/>
                <w:szCs w:val="20"/>
                <w:lang w:eastAsia="en-GB"/>
              </w:rPr>
            </w:pPr>
            <w:r w:rsidRPr="00567EB3">
              <w:rPr>
                <w:rFonts w:ascii="Arial" w:eastAsia="Times New Roman" w:hAnsi="Arial" w:cs="Arial"/>
                <w:b/>
                <w:bCs/>
                <w:color w:val="FFFFFF" w:themeColor="background1"/>
                <w:sz w:val="20"/>
                <w:szCs w:val="20"/>
                <w:lang w:eastAsia="en-GB"/>
              </w:rPr>
              <w:t>2.  Assessment</w:t>
            </w:r>
          </w:p>
        </w:tc>
        <w:tc>
          <w:tcPr>
            <w:tcW w:w="0" w:type="auto"/>
            <w:gridSpan w:val="2"/>
            <w:tcBorders>
              <w:top w:val="single" w:sz="8" w:space="0" w:color="auto"/>
              <w:left w:val="nil"/>
              <w:right w:val="single" w:sz="8" w:space="0" w:color="000000"/>
            </w:tcBorders>
            <w:shd w:val="clear" w:color="000000" w:fill="31849B" w:themeFill="accent5" w:themeFillShade="BF"/>
            <w:noWrap/>
            <w:vAlign w:val="center"/>
            <w:hideMark/>
          </w:tcPr>
          <w:p w:rsidR="00567EB3" w:rsidRPr="00567EB3" w:rsidRDefault="00567EB3" w:rsidP="00B048EB">
            <w:pPr>
              <w:spacing w:after="0" w:line="240" w:lineRule="auto"/>
              <w:jc w:val="center"/>
              <w:rPr>
                <w:rFonts w:ascii="Arial" w:eastAsia="Times New Roman" w:hAnsi="Arial" w:cs="Arial"/>
                <w:b/>
                <w:bCs/>
                <w:color w:val="FFFFFF" w:themeColor="background1"/>
                <w:sz w:val="20"/>
                <w:szCs w:val="20"/>
                <w:lang w:eastAsia="en-GB"/>
              </w:rPr>
            </w:pPr>
            <w:r w:rsidRPr="00567EB3">
              <w:rPr>
                <w:rFonts w:ascii="Arial" w:eastAsia="Times New Roman" w:hAnsi="Arial" w:cs="Arial"/>
                <w:b/>
                <w:bCs/>
                <w:color w:val="FFFFFF" w:themeColor="background1"/>
                <w:sz w:val="20"/>
                <w:szCs w:val="20"/>
                <w:lang w:eastAsia="en-GB"/>
              </w:rPr>
              <w:t>3.  Control</w:t>
            </w:r>
          </w:p>
        </w:tc>
        <w:tc>
          <w:tcPr>
            <w:tcW w:w="1658" w:type="dxa"/>
            <w:gridSpan w:val="2"/>
            <w:tcBorders>
              <w:top w:val="single" w:sz="8" w:space="0" w:color="auto"/>
              <w:left w:val="nil"/>
              <w:right w:val="single" w:sz="8" w:space="0" w:color="000000"/>
            </w:tcBorders>
            <w:shd w:val="clear" w:color="000000" w:fill="31849B" w:themeFill="accent5" w:themeFillShade="BF"/>
            <w:vAlign w:val="center"/>
          </w:tcPr>
          <w:p w:rsidR="00567EB3" w:rsidRPr="00567EB3" w:rsidRDefault="00567EB3" w:rsidP="00567EB3">
            <w:pPr>
              <w:spacing w:after="0" w:line="240" w:lineRule="auto"/>
              <w:jc w:val="center"/>
              <w:rPr>
                <w:rFonts w:ascii="Arial" w:eastAsia="Times New Roman" w:hAnsi="Arial" w:cs="Arial"/>
                <w:b/>
                <w:bCs/>
                <w:color w:val="FFFFFF" w:themeColor="background1"/>
                <w:sz w:val="20"/>
                <w:szCs w:val="20"/>
                <w:lang w:eastAsia="en-GB"/>
              </w:rPr>
            </w:pPr>
            <w:r w:rsidRPr="00567EB3">
              <w:rPr>
                <w:rFonts w:ascii="Arial" w:eastAsia="Times New Roman" w:hAnsi="Arial" w:cs="Arial"/>
                <w:b/>
                <w:bCs/>
                <w:color w:val="FFFFFF" w:themeColor="background1"/>
                <w:sz w:val="20"/>
                <w:szCs w:val="20"/>
                <w:lang w:eastAsia="en-GB"/>
              </w:rPr>
              <w:t>4. Monitoring</w:t>
            </w:r>
          </w:p>
        </w:tc>
      </w:tr>
      <w:tr w:rsidR="00567EB3" w:rsidRPr="00567EB3" w:rsidTr="00567EB3">
        <w:trPr>
          <w:trHeight w:val="450"/>
        </w:trPr>
        <w:tc>
          <w:tcPr>
            <w:tcW w:w="0" w:type="auto"/>
            <w:vMerge w:val="restart"/>
            <w:tcBorders>
              <w:top w:val="nil"/>
              <w:left w:val="single" w:sz="8" w:space="0" w:color="auto"/>
              <w:bottom w:val="single" w:sz="4" w:space="0" w:color="auto"/>
              <w:right w:val="single" w:sz="4" w:space="0" w:color="auto"/>
            </w:tcBorders>
            <w:shd w:val="clear" w:color="000000" w:fill="92CDDC" w:themeFill="accent5" w:themeFillTint="99"/>
            <w:vAlign w:val="center"/>
            <w:hideMark/>
          </w:tcPr>
          <w:p w:rsidR="00567EB3" w:rsidRPr="00567EB3" w:rsidRDefault="00567EB3" w:rsidP="00B048EB">
            <w:pPr>
              <w:spacing w:after="0" w:line="240" w:lineRule="auto"/>
              <w:jc w:val="center"/>
              <w:rPr>
                <w:rFonts w:ascii="Arial" w:eastAsia="Times New Roman" w:hAnsi="Arial" w:cs="Arial"/>
                <w:b/>
                <w:bCs/>
                <w:color w:val="000000"/>
                <w:sz w:val="16"/>
                <w:szCs w:val="16"/>
                <w:lang w:eastAsia="en-GB"/>
              </w:rPr>
            </w:pPr>
            <w:r w:rsidRPr="00567EB3">
              <w:rPr>
                <w:rFonts w:ascii="Arial" w:eastAsia="Times New Roman" w:hAnsi="Arial" w:cs="Arial"/>
                <w:b/>
                <w:bCs/>
                <w:color w:val="000000"/>
                <w:sz w:val="16"/>
                <w:szCs w:val="16"/>
                <w:lang w:eastAsia="en-GB"/>
              </w:rPr>
              <w:t>Risk No</w:t>
            </w:r>
          </w:p>
        </w:tc>
        <w:tc>
          <w:tcPr>
            <w:tcW w:w="0" w:type="auto"/>
            <w:vMerge w:val="restart"/>
            <w:tcBorders>
              <w:top w:val="nil"/>
              <w:left w:val="single" w:sz="4" w:space="0" w:color="auto"/>
              <w:bottom w:val="single" w:sz="4" w:space="0" w:color="auto"/>
              <w:right w:val="single" w:sz="4" w:space="0" w:color="auto"/>
            </w:tcBorders>
            <w:shd w:val="clear" w:color="000000" w:fill="92CDDC" w:themeFill="accent5" w:themeFillTint="99"/>
            <w:vAlign w:val="center"/>
            <w:hideMark/>
          </w:tcPr>
          <w:p w:rsidR="00567EB3" w:rsidRPr="00567EB3" w:rsidRDefault="00567EB3" w:rsidP="00B048EB">
            <w:pPr>
              <w:spacing w:after="0" w:line="240" w:lineRule="auto"/>
              <w:jc w:val="center"/>
              <w:rPr>
                <w:rFonts w:ascii="Arial" w:eastAsia="Times New Roman" w:hAnsi="Arial" w:cs="Arial"/>
                <w:b/>
                <w:bCs/>
                <w:color w:val="000000"/>
                <w:sz w:val="16"/>
                <w:szCs w:val="16"/>
                <w:lang w:eastAsia="en-GB"/>
              </w:rPr>
            </w:pPr>
            <w:r w:rsidRPr="00567EB3">
              <w:rPr>
                <w:rFonts w:ascii="Arial" w:eastAsia="Times New Roman" w:hAnsi="Arial" w:cs="Arial"/>
                <w:b/>
                <w:bCs/>
                <w:color w:val="000000"/>
                <w:sz w:val="16"/>
                <w:szCs w:val="16"/>
                <w:lang w:eastAsia="en-GB"/>
              </w:rPr>
              <w:t>Risk Description</w:t>
            </w:r>
          </w:p>
        </w:tc>
        <w:tc>
          <w:tcPr>
            <w:tcW w:w="0" w:type="auto"/>
            <w:vMerge w:val="restart"/>
            <w:tcBorders>
              <w:top w:val="nil"/>
              <w:left w:val="single" w:sz="4" w:space="0" w:color="auto"/>
              <w:bottom w:val="single" w:sz="4" w:space="0" w:color="000000"/>
              <w:right w:val="single" w:sz="4" w:space="0" w:color="auto"/>
            </w:tcBorders>
            <w:shd w:val="clear" w:color="000000" w:fill="92CDDC" w:themeFill="accent5" w:themeFillTint="99"/>
            <w:vAlign w:val="center"/>
            <w:hideMark/>
          </w:tcPr>
          <w:p w:rsidR="00567EB3" w:rsidRPr="00567EB3" w:rsidRDefault="00567EB3" w:rsidP="00B048EB">
            <w:pPr>
              <w:spacing w:after="0" w:line="240" w:lineRule="auto"/>
              <w:jc w:val="center"/>
              <w:rPr>
                <w:rFonts w:ascii="Arial" w:eastAsia="Times New Roman" w:hAnsi="Arial" w:cs="Arial"/>
                <w:b/>
                <w:bCs/>
                <w:color w:val="000000"/>
                <w:sz w:val="16"/>
                <w:szCs w:val="16"/>
                <w:lang w:eastAsia="en-GB"/>
              </w:rPr>
            </w:pPr>
            <w:r w:rsidRPr="00567EB3">
              <w:rPr>
                <w:rFonts w:ascii="Arial" w:eastAsia="Times New Roman" w:hAnsi="Arial" w:cs="Arial"/>
                <w:b/>
                <w:bCs/>
                <w:color w:val="000000"/>
                <w:sz w:val="16"/>
                <w:szCs w:val="16"/>
                <w:lang w:eastAsia="en-GB"/>
              </w:rPr>
              <w:t xml:space="preserve">Financial/ </w:t>
            </w:r>
          </w:p>
          <w:p w:rsidR="00567EB3" w:rsidRPr="00567EB3" w:rsidRDefault="00567EB3" w:rsidP="00567EB3">
            <w:pPr>
              <w:spacing w:after="0" w:line="240" w:lineRule="auto"/>
              <w:jc w:val="center"/>
              <w:rPr>
                <w:rFonts w:ascii="Arial" w:eastAsia="Times New Roman" w:hAnsi="Arial" w:cs="Arial"/>
                <w:b/>
                <w:bCs/>
                <w:color w:val="000000"/>
                <w:sz w:val="16"/>
                <w:szCs w:val="16"/>
                <w:lang w:eastAsia="en-GB"/>
              </w:rPr>
            </w:pPr>
            <w:r w:rsidRPr="00567EB3">
              <w:rPr>
                <w:rFonts w:ascii="Arial" w:eastAsia="Times New Roman" w:hAnsi="Arial" w:cs="Arial"/>
                <w:b/>
                <w:bCs/>
                <w:color w:val="000000"/>
                <w:sz w:val="16"/>
                <w:szCs w:val="16"/>
                <w:lang w:eastAsia="en-GB"/>
              </w:rPr>
              <w:t>Non-Financial /Unquantifiable</w:t>
            </w:r>
          </w:p>
        </w:tc>
        <w:tc>
          <w:tcPr>
            <w:tcW w:w="0" w:type="auto"/>
            <w:tcBorders>
              <w:top w:val="nil"/>
              <w:left w:val="nil"/>
              <w:bottom w:val="single" w:sz="4" w:space="0" w:color="auto"/>
              <w:right w:val="single" w:sz="4" w:space="0" w:color="auto"/>
            </w:tcBorders>
            <w:shd w:val="clear" w:color="000000" w:fill="92CDDC" w:themeFill="accent5" w:themeFillTint="99"/>
            <w:vAlign w:val="center"/>
            <w:hideMark/>
          </w:tcPr>
          <w:p w:rsidR="00567EB3" w:rsidRPr="00567EB3" w:rsidRDefault="00567EB3" w:rsidP="00B048EB">
            <w:pPr>
              <w:spacing w:after="0" w:line="240" w:lineRule="auto"/>
              <w:jc w:val="center"/>
              <w:rPr>
                <w:rFonts w:ascii="Arial" w:eastAsia="Times New Roman" w:hAnsi="Arial" w:cs="Arial"/>
                <w:b/>
                <w:bCs/>
                <w:color w:val="000000"/>
                <w:sz w:val="16"/>
                <w:szCs w:val="16"/>
                <w:lang w:eastAsia="en-GB"/>
              </w:rPr>
            </w:pPr>
            <w:r w:rsidRPr="00567EB3">
              <w:rPr>
                <w:rFonts w:ascii="Arial" w:eastAsia="Times New Roman" w:hAnsi="Arial" w:cs="Arial"/>
                <w:b/>
                <w:bCs/>
                <w:color w:val="000000"/>
                <w:sz w:val="16"/>
                <w:szCs w:val="16"/>
                <w:lang w:eastAsia="en-GB"/>
              </w:rPr>
              <w:t>Consequence</w:t>
            </w:r>
          </w:p>
        </w:tc>
        <w:tc>
          <w:tcPr>
            <w:tcW w:w="0" w:type="auto"/>
            <w:tcBorders>
              <w:top w:val="nil"/>
              <w:left w:val="nil"/>
              <w:bottom w:val="single" w:sz="4" w:space="0" w:color="auto"/>
              <w:right w:val="single" w:sz="4" w:space="0" w:color="auto"/>
            </w:tcBorders>
            <w:shd w:val="clear" w:color="000000" w:fill="92CDDC" w:themeFill="accent5" w:themeFillTint="99"/>
            <w:vAlign w:val="center"/>
            <w:hideMark/>
          </w:tcPr>
          <w:p w:rsidR="00567EB3" w:rsidRPr="00567EB3" w:rsidRDefault="00567EB3" w:rsidP="00B048EB">
            <w:pPr>
              <w:spacing w:after="0" w:line="240" w:lineRule="auto"/>
              <w:jc w:val="center"/>
              <w:rPr>
                <w:rFonts w:ascii="Arial" w:eastAsia="Times New Roman" w:hAnsi="Arial" w:cs="Arial"/>
                <w:b/>
                <w:bCs/>
                <w:color w:val="000000"/>
                <w:sz w:val="16"/>
                <w:szCs w:val="16"/>
                <w:lang w:eastAsia="en-GB"/>
              </w:rPr>
            </w:pPr>
            <w:r w:rsidRPr="00567EB3">
              <w:rPr>
                <w:rFonts w:ascii="Arial" w:eastAsia="Times New Roman" w:hAnsi="Arial" w:cs="Arial"/>
                <w:b/>
                <w:bCs/>
                <w:color w:val="000000"/>
                <w:sz w:val="16"/>
                <w:szCs w:val="16"/>
                <w:lang w:eastAsia="en-GB"/>
              </w:rPr>
              <w:t>Likelihood</w:t>
            </w:r>
          </w:p>
        </w:tc>
        <w:tc>
          <w:tcPr>
            <w:tcW w:w="0" w:type="auto"/>
            <w:vMerge w:val="restart"/>
            <w:tcBorders>
              <w:top w:val="nil"/>
              <w:left w:val="single" w:sz="4" w:space="0" w:color="auto"/>
              <w:bottom w:val="single" w:sz="4" w:space="0" w:color="auto"/>
              <w:right w:val="single" w:sz="4" w:space="0" w:color="auto"/>
            </w:tcBorders>
            <w:shd w:val="clear" w:color="000000" w:fill="92CDDC" w:themeFill="accent5" w:themeFillTint="99"/>
            <w:vAlign w:val="center"/>
            <w:hideMark/>
          </w:tcPr>
          <w:p w:rsidR="00567EB3" w:rsidRPr="00567EB3" w:rsidRDefault="00567EB3" w:rsidP="00B048EB">
            <w:pPr>
              <w:spacing w:after="0" w:line="240" w:lineRule="auto"/>
              <w:jc w:val="center"/>
              <w:rPr>
                <w:rFonts w:ascii="Arial" w:eastAsia="Times New Roman" w:hAnsi="Arial" w:cs="Arial"/>
                <w:b/>
                <w:bCs/>
                <w:color w:val="000000"/>
                <w:sz w:val="16"/>
                <w:szCs w:val="16"/>
                <w:lang w:eastAsia="en-GB"/>
              </w:rPr>
            </w:pPr>
            <w:r w:rsidRPr="00567EB3">
              <w:rPr>
                <w:rFonts w:ascii="Arial" w:eastAsia="Times New Roman" w:hAnsi="Arial" w:cs="Arial"/>
                <w:b/>
                <w:bCs/>
                <w:color w:val="000000"/>
                <w:sz w:val="16"/>
                <w:szCs w:val="16"/>
                <w:lang w:eastAsia="en-GB"/>
              </w:rPr>
              <w:t>Risk Rating</w:t>
            </w:r>
          </w:p>
        </w:tc>
        <w:tc>
          <w:tcPr>
            <w:tcW w:w="0" w:type="auto"/>
            <w:vMerge w:val="restart"/>
            <w:tcBorders>
              <w:top w:val="nil"/>
              <w:left w:val="single" w:sz="4" w:space="0" w:color="auto"/>
              <w:bottom w:val="single" w:sz="4" w:space="0" w:color="auto"/>
              <w:right w:val="single" w:sz="4" w:space="0" w:color="auto"/>
            </w:tcBorders>
            <w:shd w:val="clear" w:color="000000" w:fill="92CDDC" w:themeFill="accent5" w:themeFillTint="99"/>
            <w:vAlign w:val="center"/>
            <w:hideMark/>
          </w:tcPr>
          <w:p w:rsidR="00567EB3" w:rsidRPr="00567EB3" w:rsidRDefault="00567EB3" w:rsidP="00B048EB">
            <w:pPr>
              <w:spacing w:after="0" w:line="240" w:lineRule="auto"/>
              <w:jc w:val="center"/>
              <w:rPr>
                <w:rFonts w:ascii="Arial" w:eastAsia="Times New Roman" w:hAnsi="Arial" w:cs="Arial"/>
                <w:b/>
                <w:bCs/>
                <w:color w:val="000000"/>
                <w:sz w:val="16"/>
                <w:szCs w:val="16"/>
                <w:lang w:eastAsia="en-GB"/>
              </w:rPr>
            </w:pPr>
            <w:r w:rsidRPr="00567EB3">
              <w:rPr>
                <w:rFonts w:ascii="Arial" w:eastAsia="Times New Roman" w:hAnsi="Arial" w:cs="Arial"/>
                <w:b/>
                <w:bCs/>
                <w:color w:val="000000"/>
                <w:sz w:val="16"/>
                <w:szCs w:val="16"/>
                <w:lang w:eastAsia="en-GB"/>
              </w:rPr>
              <w:t>Proposed Treatment / Mitigation</w:t>
            </w:r>
          </w:p>
        </w:tc>
        <w:tc>
          <w:tcPr>
            <w:tcW w:w="0" w:type="auto"/>
            <w:vMerge w:val="restart"/>
            <w:tcBorders>
              <w:top w:val="nil"/>
              <w:left w:val="single" w:sz="4" w:space="0" w:color="auto"/>
              <w:bottom w:val="single" w:sz="4" w:space="0" w:color="auto"/>
              <w:right w:val="single" w:sz="8" w:space="0" w:color="auto"/>
            </w:tcBorders>
            <w:shd w:val="clear" w:color="000000" w:fill="92CDDC" w:themeFill="accent5" w:themeFillTint="99"/>
            <w:vAlign w:val="center"/>
            <w:hideMark/>
          </w:tcPr>
          <w:p w:rsidR="00567EB3" w:rsidRPr="00567EB3" w:rsidRDefault="00567EB3" w:rsidP="00B048EB">
            <w:pPr>
              <w:spacing w:after="0" w:line="240" w:lineRule="auto"/>
              <w:jc w:val="center"/>
              <w:rPr>
                <w:rFonts w:ascii="Arial" w:eastAsia="Times New Roman" w:hAnsi="Arial" w:cs="Arial"/>
                <w:b/>
                <w:bCs/>
                <w:color w:val="000000"/>
                <w:sz w:val="16"/>
                <w:szCs w:val="16"/>
                <w:lang w:eastAsia="en-GB"/>
              </w:rPr>
            </w:pPr>
            <w:r w:rsidRPr="00567EB3">
              <w:rPr>
                <w:rFonts w:ascii="Arial" w:eastAsia="Times New Roman" w:hAnsi="Arial" w:cs="Arial"/>
                <w:b/>
                <w:bCs/>
                <w:color w:val="000000"/>
                <w:sz w:val="16"/>
                <w:szCs w:val="16"/>
                <w:lang w:eastAsia="en-GB"/>
              </w:rPr>
              <w:t>Action Taken</w:t>
            </w:r>
          </w:p>
        </w:tc>
        <w:tc>
          <w:tcPr>
            <w:tcW w:w="1658" w:type="dxa"/>
            <w:gridSpan w:val="2"/>
            <w:tcBorders>
              <w:top w:val="nil"/>
              <w:left w:val="single" w:sz="4" w:space="0" w:color="auto"/>
              <w:bottom w:val="single" w:sz="8" w:space="0" w:color="auto"/>
              <w:right w:val="single" w:sz="8" w:space="0" w:color="auto"/>
            </w:tcBorders>
            <w:shd w:val="clear" w:color="000000" w:fill="92CDDC" w:themeFill="accent5" w:themeFillTint="99"/>
            <w:vAlign w:val="center"/>
          </w:tcPr>
          <w:p w:rsidR="00567EB3" w:rsidRPr="00567EB3" w:rsidRDefault="00567EB3" w:rsidP="00567EB3">
            <w:pPr>
              <w:spacing w:after="0" w:line="240" w:lineRule="auto"/>
              <w:jc w:val="center"/>
              <w:rPr>
                <w:rFonts w:ascii="Arial" w:eastAsia="Times New Roman" w:hAnsi="Arial" w:cs="Arial"/>
                <w:b/>
                <w:bCs/>
                <w:color w:val="000000"/>
                <w:sz w:val="16"/>
                <w:szCs w:val="16"/>
                <w:lang w:eastAsia="en-GB"/>
              </w:rPr>
            </w:pPr>
            <w:r w:rsidRPr="00567EB3">
              <w:rPr>
                <w:rFonts w:ascii="Arial" w:eastAsia="Times New Roman" w:hAnsi="Arial" w:cs="Arial"/>
                <w:b/>
                <w:bCs/>
                <w:color w:val="000000"/>
                <w:sz w:val="16"/>
                <w:szCs w:val="16"/>
                <w:lang w:eastAsia="en-GB"/>
              </w:rPr>
              <w:t>Risk Owner</w:t>
            </w:r>
          </w:p>
        </w:tc>
      </w:tr>
      <w:tr w:rsidR="00567EB3" w:rsidRPr="00567EB3" w:rsidTr="00567EB3">
        <w:trPr>
          <w:trHeight w:val="390"/>
        </w:trPr>
        <w:tc>
          <w:tcPr>
            <w:tcW w:w="0" w:type="auto"/>
            <w:vMerge/>
            <w:tcBorders>
              <w:top w:val="nil"/>
              <w:left w:val="single" w:sz="8" w:space="0" w:color="auto"/>
              <w:bottom w:val="single" w:sz="4" w:space="0" w:color="auto"/>
              <w:right w:val="single" w:sz="4" w:space="0" w:color="auto"/>
            </w:tcBorders>
            <w:vAlign w:val="center"/>
            <w:hideMark/>
          </w:tcPr>
          <w:p w:rsidR="00567EB3" w:rsidRPr="00567EB3" w:rsidRDefault="00567EB3" w:rsidP="00B048EB">
            <w:pPr>
              <w:spacing w:after="0" w:line="240" w:lineRule="auto"/>
              <w:rPr>
                <w:rFonts w:ascii="Arial" w:eastAsia="Times New Roman" w:hAnsi="Arial" w:cs="Arial"/>
                <w:b/>
                <w:bCs/>
                <w:color w:val="000000"/>
                <w:sz w:val="16"/>
                <w:szCs w:val="16"/>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567EB3" w:rsidRPr="00567EB3" w:rsidRDefault="00567EB3" w:rsidP="00B048EB">
            <w:pPr>
              <w:spacing w:after="0" w:line="240" w:lineRule="auto"/>
              <w:rPr>
                <w:rFonts w:ascii="Arial" w:eastAsia="Times New Roman" w:hAnsi="Arial" w:cs="Arial"/>
                <w:b/>
                <w:bCs/>
                <w:color w:val="000000"/>
                <w:sz w:val="16"/>
                <w:szCs w:val="16"/>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567EB3" w:rsidRPr="00567EB3" w:rsidRDefault="00567EB3" w:rsidP="00B048EB">
            <w:pPr>
              <w:spacing w:after="0" w:line="240" w:lineRule="auto"/>
              <w:rPr>
                <w:rFonts w:ascii="Arial" w:eastAsia="Times New Roman" w:hAnsi="Arial" w:cs="Arial"/>
                <w:b/>
                <w:bCs/>
                <w:color w:val="000000"/>
                <w:sz w:val="16"/>
                <w:szCs w:val="16"/>
                <w:lang w:eastAsia="en-GB"/>
              </w:rPr>
            </w:pPr>
          </w:p>
        </w:tc>
        <w:tc>
          <w:tcPr>
            <w:tcW w:w="0" w:type="auto"/>
            <w:tcBorders>
              <w:top w:val="single" w:sz="4" w:space="0" w:color="auto"/>
              <w:left w:val="nil"/>
              <w:bottom w:val="single" w:sz="4" w:space="0" w:color="auto"/>
              <w:right w:val="single" w:sz="4" w:space="0" w:color="auto"/>
            </w:tcBorders>
            <w:shd w:val="clear" w:color="000000" w:fill="92CDDC" w:themeFill="accent5" w:themeFillTint="99"/>
            <w:noWrap/>
            <w:vAlign w:val="center"/>
            <w:hideMark/>
          </w:tcPr>
          <w:p w:rsidR="00567EB3" w:rsidRPr="00567EB3" w:rsidRDefault="00567EB3" w:rsidP="00B048EB">
            <w:pPr>
              <w:spacing w:after="0" w:line="240" w:lineRule="auto"/>
              <w:jc w:val="center"/>
              <w:rPr>
                <w:rFonts w:ascii="Arial" w:eastAsia="Times New Roman" w:hAnsi="Arial" w:cs="Arial"/>
                <w:b/>
                <w:bCs/>
                <w:color w:val="000000"/>
                <w:sz w:val="16"/>
                <w:szCs w:val="16"/>
                <w:lang w:eastAsia="en-GB"/>
              </w:rPr>
            </w:pPr>
            <w:r w:rsidRPr="00567EB3">
              <w:rPr>
                <w:rFonts w:ascii="Arial" w:eastAsia="Times New Roman" w:hAnsi="Arial" w:cs="Arial"/>
                <w:b/>
                <w:bCs/>
                <w:color w:val="000000"/>
                <w:sz w:val="16"/>
                <w:szCs w:val="16"/>
                <w:lang w:eastAsia="en-GB"/>
              </w:rPr>
              <w:t>(1 - 5)</w:t>
            </w:r>
          </w:p>
        </w:tc>
        <w:tc>
          <w:tcPr>
            <w:tcW w:w="0" w:type="auto"/>
            <w:tcBorders>
              <w:top w:val="single" w:sz="4" w:space="0" w:color="auto"/>
              <w:left w:val="nil"/>
              <w:bottom w:val="single" w:sz="4" w:space="0" w:color="auto"/>
              <w:right w:val="single" w:sz="4" w:space="0" w:color="auto"/>
            </w:tcBorders>
            <w:shd w:val="clear" w:color="000000" w:fill="92CDDC" w:themeFill="accent5" w:themeFillTint="99"/>
            <w:noWrap/>
            <w:vAlign w:val="center"/>
            <w:hideMark/>
          </w:tcPr>
          <w:p w:rsidR="00567EB3" w:rsidRPr="00567EB3" w:rsidRDefault="00567EB3" w:rsidP="00B048EB">
            <w:pPr>
              <w:spacing w:after="0" w:line="240" w:lineRule="auto"/>
              <w:jc w:val="center"/>
              <w:rPr>
                <w:rFonts w:ascii="Arial" w:eastAsia="Times New Roman" w:hAnsi="Arial" w:cs="Arial"/>
                <w:b/>
                <w:bCs/>
                <w:color w:val="000000"/>
                <w:sz w:val="16"/>
                <w:szCs w:val="16"/>
                <w:lang w:eastAsia="en-GB"/>
              </w:rPr>
            </w:pPr>
            <w:r w:rsidRPr="00567EB3">
              <w:rPr>
                <w:rFonts w:ascii="Arial" w:eastAsia="Times New Roman" w:hAnsi="Arial" w:cs="Arial"/>
                <w:b/>
                <w:bCs/>
                <w:color w:val="000000"/>
                <w:sz w:val="16"/>
                <w:szCs w:val="16"/>
                <w:lang w:eastAsia="en-GB"/>
              </w:rPr>
              <w:t>(1 - 5)</w:t>
            </w:r>
          </w:p>
        </w:tc>
        <w:tc>
          <w:tcPr>
            <w:tcW w:w="0" w:type="auto"/>
            <w:vMerge/>
            <w:tcBorders>
              <w:top w:val="nil"/>
              <w:left w:val="single" w:sz="4" w:space="0" w:color="auto"/>
              <w:bottom w:val="single" w:sz="4" w:space="0" w:color="auto"/>
              <w:right w:val="single" w:sz="4" w:space="0" w:color="auto"/>
            </w:tcBorders>
            <w:vAlign w:val="center"/>
            <w:hideMark/>
          </w:tcPr>
          <w:p w:rsidR="00567EB3" w:rsidRPr="00567EB3" w:rsidRDefault="00567EB3" w:rsidP="00B048EB">
            <w:pPr>
              <w:spacing w:after="0" w:line="240" w:lineRule="auto"/>
              <w:rPr>
                <w:rFonts w:ascii="Arial" w:eastAsia="Times New Roman" w:hAnsi="Arial" w:cs="Arial"/>
                <w:b/>
                <w:bCs/>
                <w:color w:val="000000"/>
                <w:sz w:val="16"/>
                <w:szCs w:val="16"/>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567EB3" w:rsidRPr="00567EB3" w:rsidRDefault="00567EB3" w:rsidP="00B048EB">
            <w:pPr>
              <w:spacing w:after="0" w:line="240" w:lineRule="auto"/>
              <w:rPr>
                <w:rFonts w:ascii="Arial" w:eastAsia="Times New Roman" w:hAnsi="Arial" w:cs="Arial"/>
                <w:b/>
                <w:bCs/>
                <w:color w:val="000000"/>
                <w:sz w:val="16"/>
                <w:szCs w:val="16"/>
                <w:lang w:eastAsia="en-GB"/>
              </w:rPr>
            </w:pPr>
          </w:p>
        </w:tc>
        <w:tc>
          <w:tcPr>
            <w:tcW w:w="0" w:type="auto"/>
            <w:vMerge/>
            <w:tcBorders>
              <w:top w:val="nil"/>
              <w:left w:val="single" w:sz="4" w:space="0" w:color="auto"/>
              <w:bottom w:val="single" w:sz="4" w:space="0" w:color="auto"/>
              <w:right w:val="single" w:sz="8" w:space="0" w:color="auto"/>
            </w:tcBorders>
            <w:vAlign w:val="center"/>
            <w:hideMark/>
          </w:tcPr>
          <w:p w:rsidR="00567EB3" w:rsidRPr="00567EB3" w:rsidRDefault="00567EB3" w:rsidP="00B048EB">
            <w:pPr>
              <w:spacing w:after="0" w:line="240" w:lineRule="auto"/>
              <w:rPr>
                <w:rFonts w:ascii="Arial" w:eastAsia="Times New Roman" w:hAnsi="Arial" w:cs="Arial"/>
                <w:b/>
                <w:bCs/>
                <w:color w:val="000000"/>
                <w:sz w:val="16"/>
                <w:szCs w:val="16"/>
                <w:lang w:eastAsia="en-GB"/>
              </w:rPr>
            </w:pPr>
          </w:p>
        </w:tc>
        <w:tc>
          <w:tcPr>
            <w:tcW w:w="618" w:type="dxa"/>
            <w:tcBorders>
              <w:top w:val="single" w:sz="8" w:space="0" w:color="auto"/>
              <w:left w:val="single" w:sz="4" w:space="0" w:color="auto"/>
              <w:bottom w:val="single" w:sz="4" w:space="0" w:color="auto"/>
              <w:right w:val="single" w:sz="8" w:space="0" w:color="auto"/>
            </w:tcBorders>
            <w:shd w:val="clear" w:color="auto" w:fill="92CDDC" w:themeFill="accent5" w:themeFillTint="99"/>
            <w:vAlign w:val="center"/>
          </w:tcPr>
          <w:p w:rsidR="00567EB3" w:rsidRPr="00567EB3" w:rsidRDefault="00567EB3" w:rsidP="00567EB3">
            <w:pPr>
              <w:spacing w:after="0" w:line="240" w:lineRule="auto"/>
              <w:jc w:val="center"/>
              <w:rPr>
                <w:rFonts w:ascii="Arial" w:eastAsia="Times New Roman" w:hAnsi="Arial" w:cs="Arial"/>
                <w:b/>
                <w:bCs/>
                <w:color w:val="000000"/>
                <w:sz w:val="16"/>
                <w:szCs w:val="16"/>
                <w:lang w:eastAsia="en-GB"/>
              </w:rPr>
            </w:pPr>
            <w:r w:rsidRPr="00567EB3">
              <w:rPr>
                <w:rFonts w:ascii="Arial" w:eastAsia="Times New Roman" w:hAnsi="Arial" w:cs="Arial"/>
                <w:b/>
                <w:bCs/>
                <w:color w:val="000000"/>
                <w:sz w:val="16"/>
                <w:szCs w:val="16"/>
                <w:lang w:eastAsia="en-GB"/>
              </w:rPr>
              <w:t>Type</w:t>
            </w:r>
          </w:p>
        </w:tc>
        <w:tc>
          <w:tcPr>
            <w:tcW w:w="1040" w:type="dxa"/>
            <w:tcBorders>
              <w:top w:val="single" w:sz="8" w:space="0" w:color="auto"/>
              <w:left w:val="single" w:sz="4" w:space="0" w:color="auto"/>
              <w:bottom w:val="single" w:sz="4" w:space="0" w:color="auto"/>
              <w:right w:val="single" w:sz="8" w:space="0" w:color="auto"/>
            </w:tcBorders>
            <w:shd w:val="clear" w:color="auto" w:fill="92CDDC" w:themeFill="accent5" w:themeFillTint="99"/>
            <w:vAlign w:val="center"/>
          </w:tcPr>
          <w:p w:rsidR="00567EB3" w:rsidRPr="00567EB3" w:rsidRDefault="00567EB3" w:rsidP="00567EB3">
            <w:pPr>
              <w:spacing w:after="0" w:line="240" w:lineRule="auto"/>
              <w:jc w:val="center"/>
              <w:rPr>
                <w:rFonts w:ascii="Arial" w:eastAsia="Times New Roman" w:hAnsi="Arial" w:cs="Arial"/>
                <w:b/>
                <w:bCs/>
                <w:color w:val="000000"/>
                <w:sz w:val="16"/>
                <w:szCs w:val="16"/>
                <w:lang w:eastAsia="en-GB"/>
              </w:rPr>
            </w:pPr>
            <w:r w:rsidRPr="00567EB3">
              <w:rPr>
                <w:rFonts w:ascii="Arial" w:eastAsia="Times New Roman" w:hAnsi="Arial" w:cs="Arial"/>
                <w:b/>
                <w:bCs/>
                <w:color w:val="000000"/>
                <w:sz w:val="16"/>
                <w:szCs w:val="16"/>
                <w:lang w:eastAsia="en-GB"/>
              </w:rPr>
              <w:t>Individual</w:t>
            </w:r>
          </w:p>
        </w:tc>
      </w:tr>
      <w:tr w:rsidR="00567EB3" w:rsidRPr="00567EB3" w:rsidTr="00567EB3">
        <w:trPr>
          <w:trHeight w:val="390"/>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hideMark/>
          </w:tcPr>
          <w:p w:rsidR="00567EB3" w:rsidRPr="00567EB3" w:rsidRDefault="00567EB3" w:rsidP="00B048EB">
            <w:pPr>
              <w:spacing w:after="0" w:line="240" w:lineRule="auto"/>
              <w:rPr>
                <w:rFonts w:ascii="Arial" w:eastAsia="Times New Roman" w:hAnsi="Arial" w:cs="Arial"/>
                <w:b/>
                <w:bCs/>
                <w:color w:val="000000"/>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67EB3" w:rsidRPr="00567EB3" w:rsidRDefault="00567EB3" w:rsidP="00B048EB">
            <w:pPr>
              <w:spacing w:after="0" w:line="240" w:lineRule="auto"/>
              <w:rPr>
                <w:rFonts w:ascii="Arial" w:eastAsia="Times New Roman" w:hAnsi="Arial" w:cs="Arial"/>
                <w:b/>
                <w:bCs/>
                <w:color w:val="000000"/>
                <w:sz w:val="20"/>
                <w:szCs w:val="20"/>
                <w:lang w:eastAsia="en-GB"/>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rsidR="00567EB3" w:rsidRPr="00567EB3" w:rsidRDefault="00567EB3" w:rsidP="00B048EB">
            <w:pPr>
              <w:spacing w:after="0" w:line="240" w:lineRule="auto"/>
              <w:rPr>
                <w:rFonts w:ascii="Arial" w:eastAsia="Times New Roman" w:hAnsi="Arial" w:cs="Arial"/>
                <w:b/>
                <w:bCs/>
                <w:color w:val="000000"/>
                <w:sz w:val="20"/>
                <w:szCs w:val="20"/>
                <w:lang w:eastAsia="en-GB"/>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67EB3" w:rsidRPr="00567EB3" w:rsidRDefault="00567EB3" w:rsidP="00B048EB">
            <w:pPr>
              <w:spacing w:after="0" w:line="240" w:lineRule="auto"/>
              <w:jc w:val="center"/>
              <w:rPr>
                <w:rFonts w:ascii="Arial" w:eastAsia="Times New Roman" w:hAnsi="Arial" w:cs="Arial"/>
                <w:b/>
                <w:bCs/>
                <w:color w:val="000000"/>
                <w:sz w:val="20"/>
                <w:szCs w:val="20"/>
                <w:lang w:eastAsia="en-GB"/>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67EB3" w:rsidRPr="00567EB3" w:rsidRDefault="00567EB3" w:rsidP="00B048EB">
            <w:pPr>
              <w:spacing w:after="0" w:line="240" w:lineRule="auto"/>
              <w:jc w:val="center"/>
              <w:rPr>
                <w:rFonts w:ascii="Arial" w:eastAsia="Times New Roman" w:hAnsi="Arial" w:cs="Arial"/>
                <w:b/>
                <w:bCs/>
                <w:color w:val="000000"/>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67EB3" w:rsidRPr="00567EB3" w:rsidRDefault="00567EB3" w:rsidP="00B048EB">
            <w:pPr>
              <w:spacing w:after="0" w:line="240" w:lineRule="auto"/>
              <w:rPr>
                <w:rFonts w:ascii="Arial" w:eastAsia="Times New Roman" w:hAnsi="Arial" w:cs="Arial"/>
                <w:b/>
                <w:bCs/>
                <w:color w:val="000000"/>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67EB3" w:rsidRPr="00567EB3" w:rsidRDefault="00567EB3" w:rsidP="00B048EB">
            <w:pPr>
              <w:spacing w:after="0" w:line="240" w:lineRule="auto"/>
              <w:rPr>
                <w:rFonts w:ascii="Arial" w:eastAsia="Times New Roman" w:hAnsi="Arial" w:cs="Arial"/>
                <w:b/>
                <w:bCs/>
                <w:color w:val="000000"/>
                <w:sz w:val="20"/>
                <w:szCs w:val="20"/>
                <w:lang w:eastAsia="en-GB"/>
              </w:rPr>
            </w:pP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hideMark/>
          </w:tcPr>
          <w:p w:rsidR="00567EB3" w:rsidRPr="00567EB3" w:rsidRDefault="00567EB3" w:rsidP="00B048EB">
            <w:pPr>
              <w:spacing w:after="0" w:line="240" w:lineRule="auto"/>
              <w:rPr>
                <w:rFonts w:ascii="Arial" w:eastAsia="Times New Roman" w:hAnsi="Arial" w:cs="Arial"/>
                <w:b/>
                <w:bCs/>
                <w:color w:val="000000"/>
                <w:sz w:val="20"/>
                <w:szCs w:val="20"/>
                <w:lang w:eastAsia="en-GB"/>
              </w:rPr>
            </w:pPr>
          </w:p>
        </w:tc>
        <w:tc>
          <w:tcPr>
            <w:tcW w:w="618" w:type="dxa"/>
            <w:tcBorders>
              <w:top w:val="single" w:sz="4" w:space="0" w:color="auto"/>
              <w:left w:val="single" w:sz="4" w:space="0" w:color="auto"/>
              <w:bottom w:val="single" w:sz="4" w:space="0" w:color="auto"/>
              <w:right w:val="single" w:sz="8" w:space="0" w:color="auto"/>
            </w:tcBorders>
            <w:vAlign w:val="center"/>
          </w:tcPr>
          <w:p w:rsidR="00567EB3" w:rsidRPr="00567EB3" w:rsidRDefault="00567EB3" w:rsidP="00567EB3">
            <w:pPr>
              <w:spacing w:after="0" w:line="240" w:lineRule="auto"/>
              <w:jc w:val="center"/>
              <w:rPr>
                <w:rFonts w:ascii="Arial" w:eastAsia="Times New Roman" w:hAnsi="Arial" w:cs="Arial"/>
                <w:b/>
                <w:bCs/>
                <w:color w:val="000000"/>
                <w:sz w:val="20"/>
                <w:szCs w:val="20"/>
                <w:lang w:eastAsia="en-GB"/>
              </w:rPr>
            </w:pPr>
          </w:p>
        </w:tc>
        <w:tc>
          <w:tcPr>
            <w:tcW w:w="1040" w:type="dxa"/>
            <w:tcBorders>
              <w:top w:val="single" w:sz="4" w:space="0" w:color="auto"/>
              <w:left w:val="single" w:sz="4" w:space="0" w:color="auto"/>
              <w:bottom w:val="single" w:sz="4" w:space="0" w:color="auto"/>
              <w:right w:val="single" w:sz="8" w:space="0" w:color="auto"/>
            </w:tcBorders>
            <w:vAlign w:val="center"/>
          </w:tcPr>
          <w:p w:rsidR="00567EB3" w:rsidRPr="00567EB3" w:rsidRDefault="00567EB3" w:rsidP="00567EB3">
            <w:pPr>
              <w:spacing w:after="0" w:line="240" w:lineRule="auto"/>
              <w:jc w:val="center"/>
              <w:rPr>
                <w:rFonts w:ascii="Arial" w:eastAsia="Times New Roman" w:hAnsi="Arial" w:cs="Arial"/>
                <w:b/>
                <w:bCs/>
                <w:color w:val="000000"/>
                <w:sz w:val="20"/>
                <w:szCs w:val="20"/>
                <w:lang w:eastAsia="en-GB"/>
              </w:rPr>
            </w:pPr>
          </w:p>
        </w:tc>
      </w:tr>
    </w:tbl>
    <w:p w:rsidR="00CC28A5" w:rsidRDefault="00CC28A5" w:rsidP="00CC28A5">
      <w:pPr>
        <w:pStyle w:val="NoSpacing"/>
        <w:rPr>
          <w:lang w:eastAsia="en-GB"/>
        </w:rPr>
      </w:pPr>
    </w:p>
    <w:p w:rsidR="005C236B" w:rsidRPr="007A5ADA" w:rsidRDefault="00CC28A5" w:rsidP="005C236B">
      <w:pPr>
        <w:pStyle w:val="Standardparagraph"/>
        <w:rPr>
          <w:lang w:eastAsia="en-GB"/>
        </w:rPr>
      </w:pPr>
      <w:r>
        <w:rPr>
          <w:lang w:eastAsia="en-GB"/>
        </w:rPr>
        <w:t>Note that t</w:t>
      </w:r>
      <w:r w:rsidR="006C6C27" w:rsidRPr="006C6C27">
        <w:rPr>
          <w:lang w:eastAsia="en-GB"/>
        </w:rPr>
        <w:t>he project risk register should be a single register that is developed as it progresses through the business case process and not a suite of different registers</w:t>
      </w:r>
      <w:r w:rsidR="0065488A">
        <w:rPr>
          <w:lang w:eastAsia="en-GB"/>
        </w:rPr>
        <w:t>.</w:t>
      </w:r>
      <w:r w:rsidR="006C6C27" w:rsidRPr="006C6C27">
        <w:rPr>
          <w:lang w:eastAsia="en-GB"/>
        </w:rPr>
        <w:t xml:space="preserve"> </w:t>
      </w:r>
    </w:p>
    <w:p w:rsidR="005C236B" w:rsidRDefault="00567EB3" w:rsidP="001A75D2">
      <w:pPr>
        <w:pStyle w:val="Standardparagraph"/>
        <w:rPr>
          <w:rFonts w:cstheme="majorBidi"/>
          <w:b/>
          <w:bCs/>
          <w:color w:val="000000" w:themeColor="text1"/>
          <w:szCs w:val="26"/>
          <w:lang w:eastAsia="en-GB"/>
        </w:rPr>
      </w:pPr>
      <w:r>
        <w:rPr>
          <w:lang w:eastAsia="en-GB"/>
        </w:rPr>
        <w:t xml:space="preserve"> </w:t>
      </w:r>
      <w:r w:rsidR="005C236B">
        <w:rPr>
          <w:lang w:eastAsia="en-GB"/>
        </w:rPr>
        <w:br w:type="page"/>
      </w:r>
    </w:p>
    <w:p w:rsidR="007A5ADA" w:rsidRPr="007A5ADA" w:rsidRDefault="007A5ADA" w:rsidP="009724D8">
      <w:pPr>
        <w:pStyle w:val="Heading2"/>
        <w:rPr>
          <w:rFonts w:eastAsia="Times New Roman"/>
          <w:lang w:eastAsia="en-GB"/>
        </w:rPr>
      </w:pPr>
      <w:bookmarkStart w:id="9" w:name="_Toc408559408"/>
      <w:bookmarkStart w:id="10" w:name="_Toc415492005"/>
      <w:r w:rsidRPr="007A5ADA">
        <w:rPr>
          <w:rFonts w:eastAsia="Times New Roman"/>
          <w:lang w:eastAsia="en-GB"/>
        </w:rPr>
        <w:lastRenderedPageBreak/>
        <w:t>Risk Assessment</w:t>
      </w:r>
      <w:bookmarkEnd w:id="9"/>
      <w:bookmarkEnd w:id="10"/>
    </w:p>
    <w:p w:rsidR="007A5ADA" w:rsidRPr="007A5ADA" w:rsidRDefault="007A5ADA" w:rsidP="00CC28A5">
      <w:pPr>
        <w:pStyle w:val="Standardparagraph"/>
        <w:rPr>
          <w:lang w:eastAsia="en-GB"/>
        </w:rPr>
      </w:pPr>
      <w:r w:rsidRPr="007A5ADA">
        <w:rPr>
          <w:lang w:eastAsia="en-GB"/>
        </w:rPr>
        <w:t>The purpose of risk assessm</w:t>
      </w:r>
      <w:r w:rsidR="000F5084">
        <w:rPr>
          <w:lang w:eastAsia="en-GB"/>
        </w:rPr>
        <w:t>ent is to assess the likelihood</w:t>
      </w:r>
      <w:r w:rsidRPr="007A5ADA">
        <w:rPr>
          <w:lang w:eastAsia="en-GB"/>
        </w:rPr>
        <w:t xml:space="preserve"> of risks occu</w:t>
      </w:r>
      <w:r w:rsidR="002E0DF6">
        <w:rPr>
          <w:lang w:eastAsia="en-GB"/>
        </w:rPr>
        <w:t>rring and their potential consequence or impact</w:t>
      </w:r>
      <w:r w:rsidRPr="007A5ADA">
        <w:rPr>
          <w:lang w:eastAsia="en-GB"/>
        </w:rPr>
        <w:t>.</w:t>
      </w:r>
    </w:p>
    <w:tbl>
      <w:tblPr>
        <w:tblW w:w="0" w:type="auto"/>
        <w:tblInd w:w="-3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15" w:type="dxa"/>
          <w:left w:w="15" w:type="dxa"/>
          <w:bottom w:w="15" w:type="dxa"/>
          <w:right w:w="15" w:type="dxa"/>
        </w:tblCellMar>
        <w:tblLook w:val="04A0"/>
      </w:tblPr>
      <w:tblGrid>
        <w:gridCol w:w="4874"/>
        <w:gridCol w:w="4252"/>
      </w:tblGrid>
      <w:tr w:rsidR="000F5084" w:rsidRPr="000C293B" w:rsidTr="005C236B">
        <w:trPr>
          <w:tblHeader/>
        </w:trPr>
        <w:tc>
          <w:tcPr>
            <w:tcW w:w="4874" w:type="dxa"/>
            <w:tcBorders>
              <w:top w:val="single" w:sz="12" w:space="0" w:color="000000" w:themeColor="text1"/>
              <w:bottom w:val="single" w:sz="6" w:space="0" w:color="000000" w:themeColor="text1"/>
            </w:tcBorders>
            <w:shd w:val="clear" w:color="auto" w:fill="31849B" w:themeFill="accent5" w:themeFillShade="BF"/>
          </w:tcPr>
          <w:p w:rsidR="000F5084" w:rsidRPr="000C293B" w:rsidRDefault="000F5084" w:rsidP="005C236B">
            <w:pPr>
              <w:spacing w:before="120" w:after="120" w:line="240" w:lineRule="auto"/>
              <w:jc w:val="center"/>
              <w:rPr>
                <w:rFonts w:ascii="Arial" w:eastAsia="Times New Roman" w:hAnsi="Arial" w:cs="Arial"/>
                <w:b/>
                <w:bCs/>
                <w:color w:val="FFFFFF" w:themeColor="background1"/>
                <w:sz w:val="24"/>
                <w:szCs w:val="24"/>
                <w:lang w:eastAsia="en-GB"/>
              </w:rPr>
            </w:pPr>
            <w:r w:rsidRPr="000C293B">
              <w:rPr>
                <w:rFonts w:ascii="Arial" w:eastAsia="Times New Roman" w:hAnsi="Arial" w:cs="Arial"/>
                <w:b/>
                <w:bCs/>
                <w:color w:val="FFFFFF" w:themeColor="background1"/>
                <w:sz w:val="24"/>
                <w:szCs w:val="24"/>
                <w:lang w:eastAsia="en-GB"/>
              </w:rPr>
              <w:t>Likelihood</w:t>
            </w:r>
          </w:p>
        </w:tc>
        <w:tc>
          <w:tcPr>
            <w:tcW w:w="4252" w:type="dxa"/>
            <w:tcBorders>
              <w:top w:val="single" w:sz="12" w:space="0" w:color="000000" w:themeColor="text1"/>
              <w:bottom w:val="single" w:sz="6" w:space="0" w:color="000000" w:themeColor="text1"/>
            </w:tcBorders>
            <w:shd w:val="clear" w:color="auto" w:fill="31849B" w:themeFill="accent5" w:themeFillShade="BF"/>
            <w:tcMar>
              <w:top w:w="54" w:type="dxa"/>
              <w:left w:w="54" w:type="dxa"/>
              <w:bottom w:w="54" w:type="dxa"/>
              <w:right w:w="54" w:type="dxa"/>
            </w:tcMar>
            <w:hideMark/>
          </w:tcPr>
          <w:p w:rsidR="000F5084" w:rsidRPr="000C293B" w:rsidRDefault="000F5084" w:rsidP="005C236B">
            <w:pPr>
              <w:spacing w:before="120" w:after="120" w:line="240" w:lineRule="auto"/>
              <w:jc w:val="center"/>
              <w:rPr>
                <w:rFonts w:ascii="Arial" w:eastAsia="Times New Roman" w:hAnsi="Arial" w:cs="Arial"/>
                <w:b/>
                <w:bCs/>
                <w:color w:val="FFFFFF" w:themeColor="background1"/>
                <w:sz w:val="24"/>
                <w:szCs w:val="24"/>
                <w:lang w:eastAsia="en-GB"/>
              </w:rPr>
            </w:pPr>
            <w:r w:rsidRPr="000C293B">
              <w:rPr>
                <w:rFonts w:ascii="Arial" w:eastAsia="Times New Roman" w:hAnsi="Arial" w:cs="Arial"/>
                <w:b/>
                <w:bCs/>
                <w:color w:val="FFFFFF" w:themeColor="background1"/>
                <w:sz w:val="24"/>
                <w:szCs w:val="24"/>
                <w:lang w:eastAsia="en-GB"/>
              </w:rPr>
              <w:t>Consequence</w:t>
            </w:r>
          </w:p>
        </w:tc>
      </w:tr>
      <w:tr w:rsidR="000F5084" w:rsidRPr="007A5ADA" w:rsidTr="005C236B">
        <w:tc>
          <w:tcPr>
            <w:tcW w:w="4874" w:type="dxa"/>
            <w:tcBorders>
              <w:top w:val="single" w:sz="6" w:space="0" w:color="000000" w:themeColor="text1"/>
            </w:tcBorders>
          </w:tcPr>
          <w:p w:rsidR="000F5084" w:rsidRPr="00CC28A5" w:rsidRDefault="000F5084" w:rsidP="00CC28A5">
            <w:pPr>
              <w:pStyle w:val="Standardtableparagraph"/>
            </w:pPr>
            <w:r w:rsidRPr="00CC28A5">
              <w:t>The evaluated chance of a particular outcome actually happening (including a consideration of the frequency with which the outcome may arise).</w:t>
            </w:r>
          </w:p>
        </w:tc>
        <w:tc>
          <w:tcPr>
            <w:tcW w:w="4252" w:type="dxa"/>
            <w:tcBorders>
              <w:top w:val="single" w:sz="6" w:space="0" w:color="000000" w:themeColor="text1"/>
            </w:tcBorders>
            <w:tcMar>
              <w:top w:w="54" w:type="dxa"/>
              <w:left w:w="54" w:type="dxa"/>
              <w:bottom w:w="54" w:type="dxa"/>
              <w:right w:w="54" w:type="dxa"/>
            </w:tcMar>
            <w:hideMark/>
          </w:tcPr>
          <w:p w:rsidR="000F5084" w:rsidRPr="007A5ADA" w:rsidRDefault="000F5084" w:rsidP="00CC28A5">
            <w:pPr>
              <w:pStyle w:val="Standardtableparagraph"/>
            </w:pPr>
            <w:r w:rsidRPr="007A5ADA">
              <w:t>The evaluated effect or result of a particular outcome actually happening</w:t>
            </w:r>
            <w:r w:rsidR="00010813">
              <w:t>.</w:t>
            </w:r>
          </w:p>
        </w:tc>
      </w:tr>
    </w:tbl>
    <w:p w:rsidR="00CC28A5" w:rsidRDefault="00CC28A5" w:rsidP="00CC28A5">
      <w:pPr>
        <w:pStyle w:val="NoSpacing"/>
        <w:rPr>
          <w:lang w:eastAsia="en-GB"/>
        </w:rPr>
      </w:pPr>
    </w:p>
    <w:p w:rsidR="002E0DF6" w:rsidRDefault="002E0DF6" w:rsidP="00CC28A5">
      <w:pPr>
        <w:pStyle w:val="Standardparagraph"/>
        <w:rPr>
          <w:rFonts w:cs="Arial"/>
          <w:color w:val="000000"/>
          <w:szCs w:val="24"/>
          <w:lang w:eastAsia="en-GB"/>
        </w:rPr>
      </w:pPr>
      <w:r>
        <w:rPr>
          <w:rFonts w:cs="Arial"/>
          <w:color w:val="000000"/>
          <w:szCs w:val="24"/>
          <w:lang w:eastAsia="en-GB"/>
        </w:rPr>
        <w:t xml:space="preserve">Establishing the likelihood and consequence of each risk occurring is </w:t>
      </w:r>
      <w:proofErr w:type="gramStart"/>
      <w:r>
        <w:rPr>
          <w:rFonts w:cs="Arial"/>
          <w:color w:val="000000"/>
          <w:szCs w:val="24"/>
          <w:lang w:eastAsia="en-GB"/>
        </w:rPr>
        <w:t>key</w:t>
      </w:r>
      <w:proofErr w:type="gramEnd"/>
      <w:r>
        <w:rPr>
          <w:rFonts w:cs="Arial"/>
          <w:color w:val="000000"/>
          <w:szCs w:val="24"/>
          <w:lang w:eastAsia="en-GB"/>
        </w:rPr>
        <w:t xml:space="preserve"> to determining the risk rating and subsequent actions to be taken.</w:t>
      </w:r>
    </w:p>
    <w:p w:rsidR="00283D56" w:rsidRDefault="00283D56" w:rsidP="00283D56">
      <w:pPr>
        <w:pStyle w:val="Heading3"/>
        <w:rPr>
          <w:lang w:eastAsia="en-GB"/>
        </w:rPr>
      </w:pPr>
      <w:r>
        <w:rPr>
          <w:lang w:eastAsia="en-GB"/>
        </w:rPr>
        <w:t>Likelihood</w:t>
      </w:r>
    </w:p>
    <w:p w:rsidR="002E0DF6" w:rsidRDefault="002E0DF6" w:rsidP="00CC28A5">
      <w:pPr>
        <w:pStyle w:val="Standardparagraph"/>
        <w:rPr>
          <w:rFonts w:cs="Arial"/>
          <w:color w:val="000000"/>
          <w:szCs w:val="24"/>
          <w:lang w:eastAsia="en-GB"/>
        </w:rPr>
      </w:pPr>
      <w:r>
        <w:rPr>
          <w:rFonts w:cs="Arial"/>
          <w:color w:val="000000"/>
          <w:szCs w:val="24"/>
          <w:lang w:eastAsia="en-GB"/>
        </w:rPr>
        <w:t>The likelihood of a risk occurring can be assessed either quantitatively (% occurrence) or qualitatively (chance of occurrence).  The most appropriate method should be selected in each case.  The assessment of the current likelihood of a risk occurring should take into account the controls in place to prevent it.</w:t>
      </w:r>
    </w:p>
    <w:p w:rsidR="00283D56" w:rsidRDefault="002E0DF6" w:rsidP="00CC28A5">
      <w:pPr>
        <w:pStyle w:val="Standardparagraph"/>
        <w:rPr>
          <w:rFonts w:cs="Arial"/>
          <w:color w:val="000000"/>
          <w:szCs w:val="24"/>
          <w:lang w:eastAsia="en-GB"/>
        </w:rPr>
      </w:pPr>
      <w:r>
        <w:rPr>
          <w:rFonts w:cs="Arial"/>
          <w:color w:val="000000"/>
          <w:szCs w:val="24"/>
          <w:lang w:eastAsia="en-GB"/>
        </w:rPr>
        <w:t>Having assessed the likelihood of the event happening, the following table should be used to determine the likelihood score (1-5) for the event.  For example, if the chance of an event happening was 50% then the score would be 3:</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1157"/>
        <w:gridCol w:w="1786"/>
        <w:gridCol w:w="2127"/>
        <w:gridCol w:w="4172"/>
      </w:tblGrid>
      <w:tr w:rsidR="00283D56" w:rsidTr="000C293B">
        <w:tc>
          <w:tcPr>
            <w:tcW w:w="9242" w:type="dxa"/>
            <w:gridSpan w:val="4"/>
            <w:shd w:val="clear" w:color="auto" w:fill="31849B" w:themeFill="accent5" w:themeFillShade="BF"/>
            <w:vAlign w:val="center"/>
          </w:tcPr>
          <w:p w:rsidR="00283D56" w:rsidRPr="00283D56" w:rsidRDefault="00283D56" w:rsidP="00283D56">
            <w:pPr>
              <w:pStyle w:val="Standardtableparagraph"/>
              <w:jc w:val="center"/>
              <w:rPr>
                <w:b/>
                <w:color w:val="FFFFFF" w:themeColor="background1"/>
              </w:rPr>
            </w:pPr>
            <w:r w:rsidRPr="00283D56">
              <w:rPr>
                <w:b/>
                <w:color w:val="FFFFFF" w:themeColor="background1"/>
              </w:rPr>
              <w:t>LIKELIHOOD</w:t>
            </w:r>
          </w:p>
        </w:tc>
      </w:tr>
      <w:tr w:rsidR="00283D56" w:rsidTr="005C236B">
        <w:tc>
          <w:tcPr>
            <w:tcW w:w="1157" w:type="dxa"/>
            <w:shd w:val="clear" w:color="auto" w:fill="92CDDC" w:themeFill="accent5" w:themeFillTint="99"/>
            <w:vAlign w:val="center"/>
          </w:tcPr>
          <w:p w:rsidR="00283D56" w:rsidRPr="00283D56" w:rsidRDefault="00283D56" w:rsidP="00283D56">
            <w:pPr>
              <w:pStyle w:val="Standardtableparagraph"/>
              <w:jc w:val="center"/>
              <w:rPr>
                <w:b/>
              </w:rPr>
            </w:pPr>
            <w:r w:rsidRPr="00283D56">
              <w:rPr>
                <w:b/>
              </w:rPr>
              <w:t>Score</w:t>
            </w:r>
          </w:p>
        </w:tc>
        <w:tc>
          <w:tcPr>
            <w:tcW w:w="1786" w:type="dxa"/>
            <w:shd w:val="clear" w:color="auto" w:fill="92CDDC" w:themeFill="accent5" w:themeFillTint="99"/>
            <w:vAlign w:val="center"/>
          </w:tcPr>
          <w:p w:rsidR="00283D56" w:rsidRPr="00283D56" w:rsidRDefault="00283D56" w:rsidP="00283D56">
            <w:pPr>
              <w:pStyle w:val="Standardtableparagraph"/>
              <w:jc w:val="center"/>
              <w:rPr>
                <w:b/>
              </w:rPr>
            </w:pPr>
            <w:r w:rsidRPr="00283D56">
              <w:rPr>
                <w:b/>
              </w:rPr>
              <w:t>Description</w:t>
            </w:r>
          </w:p>
        </w:tc>
        <w:tc>
          <w:tcPr>
            <w:tcW w:w="2127" w:type="dxa"/>
            <w:shd w:val="clear" w:color="auto" w:fill="92CDDC" w:themeFill="accent5" w:themeFillTint="99"/>
            <w:vAlign w:val="center"/>
          </w:tcPr>
          <w:p w:rsidR="00283D56" w:rsidRPr="00283D56" w:rsidRDefault="00283D56" w:rsidP="00283D56">
            <w:pPr>
              <w:pStyle w:val="Standardtableparagraph"/>
              <w:jc w:val="center"/>
              <w:rPr>
                <w:b/>
              </w:rPr>
            </w:pPr>
            <w:r w:rsidRPr="00283D56">
              <w:rPr>
                <w:b/>
              </w:rPr>
              <w:t>% Occurrence</w:t>
            </w:r>
          </w:p>
        </w:tc>
        <w:tc>
          <w:tcPr>
            <w:tcW w:w="4172" w:type="dxa"/>
            <w:shd w:val="clear" w:color="auto" w:fill="92CDDC" w:themeFill="accent5" w:themeFillTint="99"/>
            <w:vAlign w:val="center"/>
          </w:tcPr>
          <w:p w:rsidR="00283D56" w:rsidRPr="00283D56" w:rsidRDefault="00283D56" w:rsidP="00283D56">
            <w:pPr>
              <w:pStyle w:val="Standardtableparagraph"/>
              <w:jc w:val="center"/>
              <w:rPr>
                <w:b/>
              </w:rPr>
            </w:pPr>
            <w:r w:rsidRPr="00283D56">
              <w:rPr>
                <w:b/>
              </w:rPr>
              <w:t>Chance of Occurrence</w:t>
            </w:r>
          </w:p>
        </w:tc>
      </w:tr>
      <w:tr w:rsidR="00283D56" w:rsidTr="005C236B">
        <w:tc>
          <w:tcPr>
            <w:tcW w:w="1157" w:type="dxa"/>
            <w:vAlign w:val="center"/>
          </w:tcPr>
          <w:p w:rsidR="00283D56" w:rsidRDefault="00283D56" w:rsidP="00283D56">
            <w:pPr>
              <w:pStyle w:val="Standardtableparagraph"/>
              <w:jc w:val="center"/>
            </w:pPr>
            <w:r>
              <w:t>1</w:t>
            </w:r>
          </w:p>
        </w:tc>
        <w:tc>
          <w:tcPr>
            <w:tcW w:w="1786" w:type="dxa"/>
            <w:vAlign w:val="center"/>
          </w:tcPr>
          <w:p w:rsidR="00283D56" w:rsidRDefault="00283D56" w:rsidP="000C293B">
            <w:pPr>
              <w:pStyle w:val="Standardtableparagraph"/>
              <w:jc w:val="center"/>
            </w:pPr>
            <w:r>
              <w:t>Rare</w:t>
            </w:r>
          </w:p>
        </w:tc>
        <w:tc>
          <w:tcPr>
            <w:tcW w:w="2127" w:type="dxa"/>
            <w:vAlign w:val="center"/>
          </w:tcPr>
          <w:p w:rsidR="00283D56" w:rsidRDefault="003D65EC" w:rsidP="00283D56">
            <w:pPr>
              <w:pStyle w:val="Standardtableparagraph"/>
              <w:jc w:val="center"/>
            </w:pPr>
            <w:r>
              <w:t xml:space="preserve">&lt; </w:t>
            </w:r>
            <w:r w:rsidR="00283D56">
              <w:t>5%</w:t>
            </w:r>
          </w:p>
        </w:tc>
        <w:tc>
          <w:tcPr>
            <w:tcW w:w="4172" w:type="dxa"/>
          </w:tcPr>
          <w:p w:rsidR="00283D56" w:rsidRDefault="00283D56" w:rsidP="00283D56">
            <w:pPr>
              <w:pStyle w:val="Standardtableparagraph"/>
            </w:pPr>
            <w:r>
              <w:t>Hard to imagine this event happening – will only happen in exceptional circumstances.</w:t>
            </w:r>
          </w:p>
        </w:tc>
      </w:tr>
      <w:tr w:rsidR="00283D56" w:rsidTr="005C236B">
        <w:tc>
          <w:tcPr>
            <w:tcW w:w="1157" w:type="dxa"/>
            <w:vAlign w:val="center"/>
          </w:tcPr>
          <w:p w:rsidR="00283D56" w:rsidRDefault="00283D56" w:rsidP="00283D56">
            <w:pPr>
              <w:pStyle w:val="Standardtableparagraph"/>
              <w:jc w:val="center"/>
            </w:pPr>
            <w:r>
              <w:t>2</w:t>
            </w:r>
          </w:p>
        </w:tc>
        <w:tc>
          <w:tcPr>
            <w:tcW w:w="1786" w:type="dxa"/>
            <w:vAlign w:val="center"/>
          </w:tcPr>
          <w:p w:rsidR="00283D56" w:rsidRDefault="00283D56" w:rsidP="000C293B">
            <w:pPr>
              <w:pStyle w:val="Standardtableparagraph"/>
              <w:jc w:val="center"/>
            </w:pPr>
            <w:r>
              <w:t>Unlikely</w:t>
            </w:r>
          </w:p>
        </w:tc>
        <w:tc>
          <w:tcPr>
            <w:tcW w:w="2127" w:type="dxa"/>
            <w:vAlign w:val="center"/>
          </w:tcPr>
          <w:p w:rsidR="00283D56" w:rsidRDefault="003D65EC" w:rsidP="00283D56">
            <w:pPr>
              <w:pStyle w:val="Standardtableparagraph"/>
              <w:jc w:val="center"/>
            </w:pPr>
            <w:r>
              <w:t>5 - 24</w:t>
            </w:r>
            <w:r w:rsidR="00283D56">
              <w:t>%</w:t>
            </w:r>
          </w:p>
        </w:tc>
        <w:tc>
          <w:tcPr>
            <w:tcW w:w="4172" w:type="dxa"/>
          </w:tcPr>
          <w:p w:rsidR="00283D56" w:rsidRDefault="00283D56" w:rsidP="00283D56">
            <w:pPr>
              <w:pStyle w:val="Standardtableparagraph"/>
            </w:pPr>
            <w:r>
              <w:t>Not expected to occur but might – unlikely to happen.</w:t>
            </w:r>
          </w:p>
        </w:tc>
      </w:tr>
      <w:tr w:rsidR="00283D56" w:rsidTr="005C236B">
        <w:tc>
          <w:tcPr>
            <w:tcW w:w="1157" w:type="dxa"/>
            <w:vAlign w:val="center"/>
          </w:tcPr>
          <w:p w:rsidR="00283D56" w:rsidRDefault="00283D56" w:rsidP="00283D56">
            <w:pPr>
              <w:pStyle w:val="Standardtableparagraph"/>
              <w:jc w:val="center"/>
            </w:pPr>
            <w:r>
              <w:t>3</w:t>
            </w:r>
          </w:p>
        </w:tc>
        <w:tc>
          <w:tcPr>
            <w:tcW w:w="1786" w:type="dxa"/>
            <w:vAlign w:val="center"/>
          </w:tcPr>
          <w:p w:rsidR="00283D56" w:rsidRDefault="00283D56" w:rsidP="000C293B">
            <w:pPr>
              <w:pStyle w:val="Standardtableparagraph"/>
              <w:jc w:val="center"/>
            </w:pPr>
            <w:r>
              <w:t>Possible</w:t>
            </w:r>
          </w:p>
        </w:tc>
        <w:tc>
          <w:tcPr>
            <w:tcW w:w="2127" w:type="dxa"/>
            <w:vAlign w:val="center"/>
          </w:tcPr>
          <w:p w:rsidR="00283D56" w:rsidRDefault="003D65EC" w:rsidP="00283D56">
            <w:pPr>
              <w:pStyle w:val="Standardtableparagraph"/>
              <w:jc w:val="center"/>
            </w:pPr>
            <w:r>
              <w:t>25 - 59</w:t>
            </w:r>
            <w:r w:rsidR="00283D56">
              <w:t>%</w:t>
            </w:r>
          </w:p>
        </w:tc>
        <w:tc>
          <w:tcPr>
            <w:tcW w:w="4172" w:type="dxa"/>
          </w:tcPr>
          <w:p w:rsidR="00283D56" w:rsidRDefault="00283D56" w:rsidP="00283D56">
            <w:pPr>
              <w:pStyle w:val="Standardtableparagraph"/>
            </w:pPr>
            <w:r>
              <w:t>May occur – reasonable chance of occurring.</w:t>
            </w:r>
          </w:p>
        </w:tc>
      </w:tr>
      <w:tr w:rsidR="00283D56" w:rsidTr="005C236B">
        <w:tc>
          <w:tcPr>
            <w:tcW w:w="1157" w:type="dxa"/>
            <w:vAlign w:val="center"/>
          </w:tcPr>
          <w:p w:rsidR="00283D56" w:rsidRDefault="00283D56" w:rsidP="00283D56">
            <w:pPr>
              <w:pStyle w:val="Standardtableparagraph"/>
              <w:jc w:val="center"/>
            </w:pPr>
            <w:r>
              <w:t>4</w:t>
            </w:r>
          </w:p>
        </w:tc>
        <w:tc>
          <w:tcPr>
            <w:tcW w:w="1786" w:type="dxa"/>
            <w:vAlign w:val="center"/>
          </w:tcPr>
          <w:p w:rsidR="00283D56" w:rsidRDefault="00283D56" w:rsidP="000C293B">
            <w:pPr>
              <w:pStyle w:val="Standardtableparagraph"/>
              <w:jc w:val="center"/>
            </w:pPr>
            <w:r>
              <w:t>Likely</w:t>
            </w:r>
          </w:p>
        </w:tc>
        <w:tc>
          <w:tcPr>
            <w:tcW w:w="2127" w:type="dxa"/>
            <w:vAlign w:val="center"/>
          </w:tcPr>
          <w:p w:rsidR="00283D56" w:rsidRDefault="003D65EC" w:rsidP="00283D56">
            <w:pPr>
              <w:pStyle w:val="Standardtableparagraph"/>
              <w:jc w:val="center"/>
            </w:pPr>
            <w:r>
              <w:t>60 – 84</w:t>
            </w:r>
            <w:r w:rsidR="00283D56">
              <w:t>%</w:t>
            </w:r>
          </w:p>
        </w:tc>
        <w:tc>
          <w:tcPr>
            <w:tcW w:w="4172" w:type="dxa"/>
          </w:tcPr>
          <w:p w:rsidR="00283D56" w:rsidRDefault="00283D56" w:rsidP="00283D56">
            <w:pPr>
              <w:pStyle w:val="Standardtableparagraph"/>
            </w:pPr>
            <w:r>
              <w:t>More likely to occur than not.</w:t>
            </w:r>
          </w:p>
        </w:tc>
      </w:tr>
      <w:tr w:rsidR="00283D56" w:rsidTr="005C236B">
        <w:tc>
          <w:tcPr>
            <w:tcW w:w="1157" w:type="dxa"/>
            <w:vAlign w:val="center"/>
          </w:tcPr>
          <w:p w:rsidR="00283D56" w:rsidRDefault="00283D56" w:rsidP="00283D56">
            <w:pPr>
              <w:pStyle w:val="Standardtableparagraph"/>
              <w:jc w:val="center"/>
            </w:pPr>
            <w:r>
              <w:t>5</w:t>
            </w:r>
          </w:p>
        </w:tc>
        <w:tc>
          <w:tcPr>
            <w:tcW w:w="1786" w:type="dxa"/>
            <w:vAlign w:val="center"/>
          </w:tcPr>
          <w:p w:rsidR="00283D56" w:rsidRDefault="00283D56" w:rsidP="000C293B">
            <w:pPr>
              <w:pStyle w:val="Standardtableparagraph"/>
              <w:jc w:val="center"/>
            </w:pPr>
            <w:r>
              <w:t>Almost Certain</w:t>
            </w:r>
          </w:p>
        </w:tc>
        <w:tc>
          <w:tcPr>
            <w:tcW w:w="2127" w:type="dxa"/>
            <w:vAlign w:val="center"/>
          </w:tcPr>
          <w:p w:rsidR="00283D56" w:rsidRDefault="00283D56" w:rsidP="003D65EC">
            <w:pPr>
              <w:pStyle w:val="Standardtableparagraph"/>
              <w:jc w:val="center"/>
            </w:pPr>
            <w:r>
              <w:t>8</w:t>
            </w:r>
            <w:r w:rsidR="003D65EC">
              <w:t>5</w:t>
            </w:r>
            <w:r>
              <w:t xml:space="preserve"> – 100%</w:t>
            </w:r>
          </w:p>
        </w:tc>
        <w:tc>
          <w:tcPr>
            <w:tcW w:w="4172" w:type="dxa"/>
          </w:tcPr>
          <w:p w:rsidR="00283D56" w:rsidRDefault="00283D56" w:rsidP="00283D56">
            <w:pPr>
              <w:pStyle w:val="Standardtableparagraph"/>
            </w:pPr>
            <w:r>
              <w:t>Hard to imagine this event not happening.</w:t>
            </w:r>
          </w:p>
        </w:tc>
      </w:tr>
    </w:tbl>
    <w:p w:rsidR="00283D56" w:rsidRDefault="00283D56" w:rsidP="00283D56">
      <w:pPr>
        <w:pStyle w:val="Heading3"/>
        <w:rPr>
          <w:lang w:eastAsia="en-GB"/>
        </w:rPr>
      </w:pPr>
      <w:r>
        <w:rPr>
          <w:lang w:eastAsia="en-GB"/>
        </w:rPr>
        <w:lastRenderedPageBreak/>
        <w:t>Consequence</w:t>
      </w:r>
    </w:p>
    <w:p w:rsidR="000C293B" w:rsidRDefault="00DC5E4F" w:rsidP="00CC28A5">
      <w:pPr>
        <w:pStyle w:val="Standardparagraph"/>
        <w:rPr>
          <w:rFonts w:cs="Arial"/>
          <w:color w:val="000000"/>
          <w:szCs w:val="24"/>
          <w:lang w:eastAsia="en-GB"/>
        </w:rPr>
      </w:pPr>
      <w:r>
        <w:rPr>
          <w:rFonts w:cs="Arial"/>
          <w:color w:val="000000"/>
          <w:szCs w:val="24"/>
          <w:lang w:eastAsia="en-GB"/>
        </w:rPr>
        <w:t>The consequence of a risk occurring can impact on an organisation’s responsibilities</w:t>
      </w:r>
      <w:r w:rsidRPr="00DC5E4F">
        <w:rPr>
          <w:rFonts w:cs="Arial"/>
          <w:color w:val="000000"/>
          <w:szCs w:val="24"/>
          <w:lang w:eastAsia="en-GB"/>
        </w:rPr>
        <w:t xml:space="preserve"> </w:t>
      </w:r>
      <w:r>
        <w:rPr>
          <w:rFonts w:cs="Arial"/>
          <w:color w:val="000000"/>
          <w:szCs w:val="24"/>
          <w:lang w:eastAsia="en-GB"/>
        </w:rPr>
        <w:t>in different ways</w:t>
      </w:r>
      <w:r w:rsidR="000C293B">
        <w:rPr>
          <w:rFonts w:cs="Arial"/>
          <w:color w:val="000000"/>
          <w:szCs w:val="24"/>
          <w:lang w:eastAsia="en-GB"/>
        </w:rPr>
        <w:t xml:space="preserve"> and its assessment</w:t>
      </w:r>
      <w:r>
        <w:rPr>
          <w:rFonts w:cs="Arial"/>
          <w:color w:val="000000"/>
          <w:szCs w:val="24"/>
          <w:lang w:eastAsia="en-GB"/>
        </w:rPr>
        <w:t xml:space="preserve"> will therefore need to con</w:t>
      </w:r>
      <w:r w:rsidR="000C293B">
        <w:rPr>
          <w:rFonts w:cs="Arial"/>
          <w:color w:val="000000"/>
          <w:szCs w:val="24"/>
          <w:lang w:eastAsia="en-GB"/>
        </w:rPr>
        <w:t>sider which</w:t>
      </w:r>
      <w:r>
        <w:rPr>
          <w:rFonts w:cs="Arial"/>
          <w:color w:val="000000"/>
          <w:szCs w:val="24"/>
          <w:lang w:eastAsia="en-GB"/>
        </w:rPr>
        <w:t xml:space="preserve"> </w:t>
      </w:r>
      <w:r w:rsidR="000C293B">
        <w:rPr>
          <w:rFonts w:cs="Arial"/>
          <w:color w:val="000000"/>
          <w:szCs w:val="24"/>
          <w:lang w:eastAsia="en-GB"/>
        </w:rPr>
        <w:t xml:space="preserve">of the consequence descriptors described in Appendix </w:t>
      </w:r>
      <w:r w:rsidR="00641CF9">
        <w:rPr>
          <w:rFonts w:cs="Arial"/>
          <w:color w:val="000000"/>
          <w:szCs w:val="24"/>
          <w:lang w:eastAsia="en-GB"/>
        </w:rPr>
        <w:t>A</w:t>
      </w:r>
      <w:r w:rsidR="000C293B">
        <w:rPr>
          <w:rFonts w:cs="Arial"/>
          <w:color w:val="000000"/>
          <w:szCs w:val="24"/>
          <w:lang w:eastAsia="en-GB"/>
        </w:rPr>
        <w:t xml:space="preserve"> is most relevant for the assessment of each risk.</w:t>
      </w:r>
    </w:p>
    <w:p w:rsidR="000C293B" w:rsidRDefault="00890ED6" w:rsidP="00CC28A5">
      <w:pPr>
        <w:pStyle w:val="Standardparagraph"/>
        <w:rPr>
          <w:rFonts w:cs="Arial"/>
          <w:color w:val="000000"/>
          <w:szCs w:val="24"/>
          <w:lang w:eastAsia="en-GB"/>
        </w:rPr>
      </w:pPr>
      <w:r>
        <w:rPr>
          <w:rFonts w:cs="Arial"/>
          <w:color w:val="000000"/>
          <w:szCs w:val="24"/>
          <w:lang w:eastAsia="en-GB"/>
        </w:rPr>
        <w:t>The consequence</w:t>
      </w:r>
      <w:r w:rsidR="000C293B">
        <w:rPr>
          <w:rFonts w:cs="Arial"/>
          <w:color w:val="000000"/>
          <w:szCs w:val="24"/>
          <w:lang w:eastAsia="en-GB"/>
        </w:rPr>
        <w:t xml:space="preserve"> score (1-5) can be determined using the </w:t>
      </w:r>
      <w:r>
        <w:rPr>
          <w:rFonts w:cs="Arial"/>
          <w:color w:val="000000"/>
          <w:szCs w:val="24"/>
          <w:lang w:eastAsia="en-GB"/>
        </w:rPr>
        <w:t xml:space="preserve">following </w:t>
      </w:r>
      <w:r w:rsidR="000C293B">
        <w:rPr>
          <w:rFonts w:cs="Arial"/>
          <w:color w:val="000000"/>
          <w:szCs w:val="24"/>
          <w:lang w:eastAsia="en-GB"/>
        </w:rPr>
        <w:t>criteria:</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1158"/>
        <w:gridCol w:w="2211"/>
      </w:tblGrid>
      <w:tr w:rsidR="000C293B" w:rsidTr="000C293B">
        <w:trPr>
          <w:jc w:val="center"/>
        </w:trPr>
        <w:tc>
          <w:tcPr>
            <w:tcW w:w="3369" w:type="dxa"/>
            <w:gridSpan w:val="2"/>
            <w:tcBorders>
              <w:bottom w:val="single" w:sz="6" w:space="0" w:color="auto"/>
            </w:tcBorders>
            <w:shd w:val="clear" w:color="auto" w:fill="31849B" w:themeFill="accent5" w:themeFillShade="BF"/>
            <w:vAlign w:val="center"/>
          </w:tcPr>
          <w:p w:rsidR="000C293B" w:rsidRPr="000C293B" w:rsidRDefault="000C293B" w:rsidP="005C236B">
            <w:pPr>
              <w:pStyle w:val="Standardtableparagraph"/>
              <w:jc w:val="center"/>
              <w:rPr>
                <w:b/>
                <w:color w:val="FFFFFF" w:themeColor="background1"/>
              </w:rPr>
            </w:pPr>
            <w:r w:rsidRPr="000C293B">
              <w:rPr>
                <w:b/>
                <w:color w:val="FFFFFF" w:themeColor="background1"/>
              </w:rPr>
              <w:t>CONSEQUENCE</w:t>
            </w:r>
          </w:p>
        </w:tc>
      </w:tr>
      <w:tr w:rsidR="000C293B" w:rsidTr="000C293B">
        <w:trPr>
          <w:jc w:val="center"/>
        </w:trPr>
        <w:tc>
          <w:tcPr>
            <w:tcW w:w="1158" w:type="dxa"/>
            <w:tcBorders>
              <w:top w:val="single" w:sz="6" w:space="0" w:color="auto"/>
              <w:bottom w:val="single" w:sz="6" w:space="0" w:color="auto"/>
            </w:tcBorders>
            <w:shd w:val="clear" w:color="auto" w:fill="92CDDC" w:themeFill="accent5" w:themeFillTint="99"/>
          </w:tcPr>
          <w:p w:rsidR="000C293B" w:rsidRPr="000C293B" w:rsidRDefault="000C293B" w:rsidP="000C293B">
            <w:pPr>
              <w:pStyle w:val="Standardtableparagraph"/>
              <w:jc w:val="center"/>
              <w:rPr>
                <w:b/>
              </w:rPr>
            </w:pPr>
            <w:r w:rsidRPr="000C293B">
              <w:rPr>
                <w:b/>
              </w:rPr>
              <w:t>Score</w:t>
            </w:r>
          </w:p>
        </w:tc>
        <w:tc>
          <w:tcPr>
            <w:tcW w:w="2211" w:type="dxa"/>
            <w:tcBorders>
              <w:top w:val="single" w:sz="6" w:space="0" w:color="auto"/>
              <w:bottom w:val="single" w:sz="6" w:space="0" w:color="auto"/>
            </w:tcBorders>
            <w:shd w:val="clear" w:color="auto" w:fill="92CDDC" w:themeFill="accent5" w:themeFillTint="99"/>
          </w:tcPr>
          <w:p w:rsidR="000C293B" w:rsidRPr="000C293B" w:rsidRDefault="000C293B" w:rsidP="000C293B">
            <w:pPr>
              <w:pStyle w:val="Standardtableparagraph"/>
              <w:jc w:val="center"/>
              <w:rPr>
                <w:b/>
              </w:rPr>
            </w:pPr>
            <w:r w:rsidRPr="000C293B">
              <w:rPr>
                <w:b/>
              </w:rPr>
              <w:t>Description</w:t>
            </w:r>
          </w:p>
        </w:tc>
      </w:tr>
      <w:tr w:rsidR="000C293B" w:rsidTr="000C293B">
        <w:trPr>
          <w:jc w:val="center"/>
        </w:trPr>
        <w:tc>
          <w:tcPr>
            <w:tcW w:w="1158" w:type="dxa"/>
            <w:tcBorders>
              <w:top w:val="single" w:sz="6" w:space="0" w:color="auto"/>
            </w:tcBorders>
            <w:vAlign w:val="center"/>
          </w:tcPr>
          <w:p w:rsidR="000C293B" w:rsidRDefault="000C293B" w:rsidP="000C293B">
            <w:pPr>
              <w:pStyle w:val="Standardtableparagraph"/>
              <w:jc w:val="center"/>
            </w:pPr>
            <w:r>
              <w:t>1</w:t>
            </w:r>
          </w:p>
        </w:tc>
        <w:tc>
          <w:tcPr>
            <w:tcW w:w="2211" w:type="dxa"/>
            <w:tcBorders>
              <w:top w:val="single" w:sz="6" w:space="0" w:color="auto"/>
            </w:tcBorders>
          </w:tcPr>
          <w:p w:rsidR="000C293B" w:rsidRDefault="000C293B" w:rsidP="000C293B">
            <w:pPr>
              <w:pStyle w:val="Standardtableparagraph"/>
            </w:pPr>
            <w:r>
              <w:t>Negligible</w:t>
            </w:r>
          </w:p>
        </w:tc>
      </w:tr>
      <w:tr w:rsidR="000C293B" w:rsidTr="000C293B">
        <w:trPr>
          <w:jc w:val="center"/>
        </w:trPr>
        <w:tc>
          <w:tcPr>
            <w:tcW w:w="1158" w:type="dxa"/>
            <w:vAlign w:val="center"/>
          </w:tcPr>
          <w:p w:rsidR="000C293B" w:rsidRDefault="000C293B" w:rsidP="000C293B">
            <w:pPr>
              <w:pStyle w:val="Standardtableparagraph"/>
              <w:jc w:val="center"/>
            </w:pPr>
            <w:r>
              <w:t>2</w:t>
            </w:r>
          </w:p>
        </w:tc>
        <w:tc>
          <w:tcPr>
            <w:tcW w:w="2211" w:type="dxa"/>
          </w:tcPr>
          <w:p w:rsidR="000C293B" w:rsidRDefault="000C293B" w:rsidP="000C293B">
            <w:pPr>
              <w:pStyle w:val="Standardtableparagraph"/>
            </w:pPr>
            <w:r>
              <w:t>Minor</w:t>
            </w:r>
          </w:p>
        </w:tc>
      </w:tr>
      <w:tr w:rsidR="000C293B" w:rsidTr="000C293B">
        <w:trPr>
          <w:jc w:val="center"/>
        </w:trPr>
        <w:tc>
          <w:tcPr>
            <w:tcW w:w="1158" w:type="dxa"/>
            <w:vAlign w:val="center"/>
          </w:tcPr>
          <w:p w:rsidR="000C293B" w:rsidRDefault="000C293B" w:rsidP="000C293B">
            <w:pPr>
              <w:pStyle w:val="Standardtableparagraph"/>
              <w:jc w:val="center"/>
            </w:pPr>
            <w:r>
              <w:t>3</w:t>
            </w:r>
          </w:p>
        </w:tc>
        <w:tc>
          <w:tcPr>
            <w:tcW w:w="2211" w:type="dxa"/>
          </w:tcPr>
          <w:p w:rsidR="000C293B" w:rsidRDefault="000C293B" w:rsidP="000C293B">
            <w:pPr>
              <w:pStyle w:val="Standardtableparagraph"/>
            </w:pPr>
            <w:r>
              <w:t>Moderate</w:t>
            </w:r>
          </w:p>
        </w:tc>
      </w:tr>
      <w:tr w:rsidR="000C293B" w:rsidTr="000C293B">
        <w:trPr>
          <w:jc w:val="center"/>
        </w:trPr>
        <w:tc>
          <w:tcPr>
            <w:tcW w:w="1158" w:type="dxa"/>
            <w:vAlign w:val="center"/>
          </w:tcPr>
          <w:p w:rsidR="000C293B" w:rsidRDefault="000C293B" w:rsidP="000C293B">
            <w:pPr>
              <w:pStyle w:val="Standardtableparagraph"/>
              <w:jc w:val="center"/>
            </w:pPr>
            <w:r>
              <w:t>4</w:t>
            </w:r>
          </w:p>
        </w:tc>
        <w:tc>
          <w:tcPr>
            <w:tcW w:w="2211" w:type="dxa"/>
          </w:tcPr>
          <w:p w:rsidR="000C293B" w:rsidRDefault="000C293B" w:rsidP="000C293B">
            <w:pPr>
              <w:pStyle w:val="Standardtableparagraph"/>
            </w:pPr>
            <w:r>
              <w:t>Major</w:t>
            </w:r>
          </w:p>
        </w:tc>
      </w:tr>
      <w:tr w:rsidR="000C293B" w:rsidTr="000C293B">
        <w:trPr>
          <w:jc w:val="center"/>
        </w:trPr>
        <w:tc>
          <w:tcPr>
            <w:tcW w:w="1158" w:type="dxa"/>
            <w:vAlign w:val="center"/>
          </w:tcPr>
          <w:p w:rsidR="000C293B" w:rsidRDefault="000C293B" w:rsidP="000C293B">
            <w:pPr>
              <w:pStyle w:val="Standardtableparagraph"/>
              <w:jc w:val="center"/>
            </w:pPr>
            <w:r>
              <w:t>5</w:t>
            </w:r>
          </w:p>
        </w:tc>
        <w:tc>
          <w:tcPr>
            <w:tcW w:w="2211" w:type="dxa"/>
          </w:tcPr>
          <w:p w:rsidR="000C293B" w:rsidRDefault="00103DE9" w:rsidP="000C293B">
            <w:pPr>
              <w:pStyle w:val="Standardtableparagraph"/>
            </w:pPr>
            <w:r>
              <w:t>Extreme</w:t>
            </w:r>
          </w:p>
        </w:tc>
      </w:tr>
    </w:tbl>
    <w:p w:rsidR="003D65EC" w:rsidRDefault="003D65EC" w:rsidP="003D65EC">
      <w:pPr>
        <w:pStyle w:val="NoSpacing"/>
        <w:rPr>
          <w:lang w:eastAsia="en-GB"/>
        </w:rPr>
      </w:pPr>
    </w:p>
    <w:p w:rsidR="00103DE9" w:rsidRDefault="000C293B" w:rsidP="00CC28A5">
      <w:pPr>
        <w:pStyle w:val="Standardparagraph"/>
        <w:rPr>
          <w:rFonts w:cs="Arial"/>
          <w:color w:val="000000"/>
          <w:szCs w:val="24"/>
          <w:lang w:eastAsia="en-GB"/>
        </w:rPr>
      </w:pPr>
      <w:r>
        <w:rPr>
          <w:rFonts w:cs="Arial"/>
          <w:color w:val="000000"/>
          <w:szCs w:val="24"/>
          <w:lang w:eastAsia="en-GB"/>
        </w:rPr>
        <w:t xml:space="preserve">The assessment of the current consequence </w:t>
      </w:r>
      <w:r w:rsidR="00103DE9">
        <w:rPr>
          <w:rFonts w:cs="Arial"/>
          <w:color w:val="000000"/>
          <w:szCs w:val="24"/>
          <w:lang w:eastAsia="en-GB"/>
        </w:rPr>
        <w:t>of a risk occurring should take into account the controls currently in place to minimise the impact.</w:t>
      </w:r>
    </w:p>
    <w:p w:rsidR="000C293B" w:rsidRDefault="00103DE9" w:rsidP="00103DE9">
      <w:pPr>
        <w:pStyle w:val="Heading3"/>
        <w:rPr>
          <w:lang w:eastAsia="en-GB"/>
        </w:rPr>
      </w:pPr>
      <w:r>
        <w:rPr>
          <w:lang w:eastAsia="en-GB"/>
        </w:rPr>
        <w:t xml:space="preserve">Risk Rating (likelihood x consequence) </w:t>
      </w:r>
    </w:p>
    <w:p w:rsidR="00103DE9" w:rsidRDefault="00103DE9" w:rsidP="00CC28A5">
      <w:pPr>
        <w:pStyle w:val="Standardparagraph"/>
        <w:rPr>
          <w:rFonts w:cs="Arial"/>
          <w:color w:val="000000"/>
          <w:szCs w:val="24"/>
          <w:lang w:eastAsia="en-GB"/>
        </w:rPr>
      </w:pPr>
      <w:r>
        <w:rPr>
          <w:rFonts w:cs="Arial"/>
          <w:color w:val="000000"/>
          <w:szCs w:val="24"/>
          <w:lang w:eastAsia="en-GB"/>
        </w:rPr>
        <w:t>The risk rating is assessed by multiplying to</w:t>
      </w:r>
      <w:r w:rsidR="00890ED6">
        <w:rPr>
          <w:rFonts w:cs="Arial"/>
          <w:color w:val="000000"/>
          <w:szCs w:val="24"/>
          <w:lang w:eastAsia="en-GB"/>
        </w:rPr>
        <w:t>gether the likelihood and consequence</w:t>
      </w:r>
      <w:r>
        <w:rPr>
          <w:rFonts w:cs="Arial"/>
          <w:color w:val="000000"/>
          <w:szCs w:val="24"/>
          <w:lang w:eastAsia="en-GB"/>
        </w:rPr>
        <w:t xml:space="preserve"> scores.  Risks are then classified as Red, Amber, Yellow or Green based on the table below:</w:t>
      </w:r>
    </w:p>
    <w:tbl>
      <w:tblPr>
        <w:tblW w:w="94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1"/>
        <w:gridCol w:w="1529"/>
        <w:gridCol w:w="1449"/>
        <w:gridCol w:w="1531"/>
        <w:gridCol w:w="1449"/>
        <w:gridCol w:w="1449"/>
      </w:tblGrid>
      <w:tr w:rsidR="00103DE9" w:rsidRPr="005C236B" w:rsidTr="005C236B">
        <w:trPr>
          <w:trHeight w:val="383"/>
        </w:trPr>
        <w:tc>
          <w:tcPr>
            <w:tcW w:w="2011" w:type="dxa"/>
            <w:vMerge w:val="restart"/>
            <w:tcBorders>
              <w:top w:val="single" w:sz="24" w:space="0" w:color="auto"/>
              <w:left w:val="single" w:sz="24" w:space="0" w:color="auto"/>
              <w:right w:val="single" w:sz="4" w:space="0" w:color="auto"/>
            </w:tcBorders>
            <w:shd w:val="clear" w:color="auto" w:fill="31849B" w:themeFill="accent5" w:themeFillShade="BF"/>
            <w:vAlign w:val="center"/>
          </w:tcPr>
          <w:p w:rsidR="00103DE9" w:rsidRPr="005C236B" w:rsidRDefault="00103DE9" w:rsidP="00103DE9">
            <w:pPr>
              <w:spacing w:after="0" w:line="240" w:lineRule="auto"/>
              <w:jc w:val="center"/>
              <w:rPr>
                <w:rFonts w:ascii="Arial" w:hAnsi="Arial" w:cs="Arial"/>
                <w:b/>
                <w:color w:val="FFFFFF" w:themeColor="background1"/>
              </w:rPr>
            </w:pPr>
            <w:r w:rsidRPr="005C236B">
              <w:rPr>
                <w:rFonts w:ascii="Arial" w:hAnsi="Arial" w:cs="Arial"/>
                <w:b/>
                <w:color w:val="FFFFFF" w:themeColor="background1"/>
              </w:rPr>
              <w:t>Likelihood</w:t>
            </w:r>
          </w:p>
        </w:tc>
        <w:tc>
          <w:tcPr>
            <w:tcW w:w="7407" w:type="dxa"/>
            <w:gridSpan w:val="5"/>
            <w:tcBorders>
              <w:top w:val="single" w:sz="24" w:space="0" w:color="auto"/>
              <w:left w:val="single" w:sz="4" w:space="0" w:color="auto"/>
              <w:right w:val="single" w:sz="24" w:space="0" w:color="auto"/>
            </w:tcBorders>
            <w:shd w:val="clear" w:color="auto" w:fill="31849B" w:themeFill="accent5" w:themeFillShade="BF"/>
            <w:vAlign w:val="center"/>
          </w:tcPr>
          <w:p w:rsidR="00103DE9" w:rsidRPr="005C236B" w:rsidRDefault="00103DE9" w:rsidP="00103DE9">
            <w:pPr>
              <w:spacing w:after="0" w:line="240" w:lineRule="auto"/>
              <w:jc w:val="center"/>
              <w:rPr>
                <w:rFonts w:ascii="Arial" w:hAnsi="Arial" w:cs="Arial"/>
                <w:b/>
                <w:color w:val="FFFFFF" w:themeColor="background1"/>
              </w:rPr>
            </w:pPr>
            <w:r w:rsidRPr="005C236B">
              <w:rPr>
                <w:rFonts w:ascii="Arial" w:hAnsi="Arial" w:cs="Arial"/>
                <w:b/>
                <w:color w:val="FFFFFF" w:themeColor="background1"/>
              </w:rPr>
              <w:t>Potential Consequences</w:t>
            </w:r>
          </w:p>
        </w:tc>
      </w:tr>
      <w:tr w:rsidR="00103DE9" w:rsidRPr="005C236B" w:rsidTr="005C236B">
        <w:trPr>
          <w:trHeight w:val="539"/>
        </w:trPr>
        <w:tc>
          <w:tcPr>
            <w:tcW w:w="2011" w:type="dxa"/>
            <w:vMerge/>
            <w:tcBorders>
              <w:left w:val="single" w:sz="24" w:space="0" w:color="auto"/>
              <w:right w:val="single" w:sz="4" w:space="0" w:color="auto"/>
            </w:tcBorders>
            <w:shd w:val="clear" w:color="auto" w:fill="31849B" w:themeFill="accent5" w:themeFillShade="BF"/>
          </w:tcPr>
          <w:p w:rsidR="00103DE9" w:rsidRPr="005C236B" w:rsidRDefault="00103DE9" w:rsidP="00103DE9">
            <w:pPr>
              <w:spacing w:after="0" w:line="240" w:lineRule="auto"/>
              <w:rPr>
                <w:rFonts w:ascii="Arial" w:hAnsi="Arial" w:cs="Arial"/>
                <w:sz w:val="18"/>
                <w:szCs w:val="18"/>
              </w:rPr>
            </w:pPr>
          </w:p>
        </w:tc>
        <w:tc>
          <w:tcPr>
            <w:tcW w:w="1529" w:type="dxa"/>
            <w:tcBorders>
              <w:left w:val="single" w:sz="4" w:space="0" w:color="auto"/>
              <w:bottom w:val="single" w:sz="4" w:space="0" w:color="auto"/>
            </w:tcBorders>
            <w:vAlign w:val="center"/>
          </w:tcPr>
          <w:p w:rsidR="00103DE9" w:rsidRPr="005C236B" w:rsidRDefault="00103DE9" w:rsidP="00103DE9">
            <w:pPr>
              <w:spacing w:after="0" w:line="240" w:lineRule="auto"/>
              <w:jc w:val="center"/>
              <w:rPr>
                <w:rFonts w:ascii="Arial" w:hAnsi="Arial" w:cs="Arial"/>
                <w:b/>
                <w:sz w:val="18"/>
                <w:szCs w:val="18"/>
              </w:rPr>
            </w:pPr>
            <w:r w:rsidRPr="005C236B">
              <w:rPr>
                <w:rFonts w:ascii="Arial" w:hAnsi="Arial" w:cs="Arial"/>
                <w:b/>
                <w:sz w:val="18"/>
                <w:szCs w:val="18"/>
              </w:rPr>
              <w:t>Negligible (1)</w:t>
            </w:r>
          </w:p>
        </w:tc>
        <w:tc>
          <w:tcPr>
            <w:tcW w:w="1449" w:type="dxa"/>
            <w:tcBorders>
              <w:bottom w:val="single" w:sz="4" w:space="0" w:color="auto"/>
            </w:tcBorders>
            <w:vAlign w:val="center"/>
          </w:tcPr>
          <w:p w:rsidR="00103DE9" w:rsidRPr="005C236B" w:rsidRDefault="00103DE9" w:rsidP="00103DE9">
            <w:pPr>
              <w:spacing w:after="0" w:line="240" w:lineRule="auto"/>
              <w:jc w:val="center"/>
              <w:rPr>
                <w:rFonts w:ascii="Arial" w:hAnsi="Arial" w:cs="Arial"/>
                <w:b/>
                <w:sz w:val="18"/>
                <w:szCs w:val="18"/>
              </w:rPr>
            </w:pPr>
            <w:r w:rsidRPr="005C236B">
              <w:rPr>
                <w:rFonts w:ascii="Arial" w:hAnsi="Arial" w:cs="Arial"/>
                <w:b/>
                <w:sz w:val="18"/>
                <w:szCs w:val="18"/>
              </w:rPr>
              <w:t>Minor (2)</w:t>
            </w:r>
          </w:p>
        </w:tc>
        <w:tc>
          <w:tcPr>
            <w:tcW w:w="1531" w:type="dxa"/>
            <w:tcBorders>
              <w:bottom w:val="single" w:sz="4" w:space="0" w:color="auto"/>
            </w:tcBorders>
            <w:vAlign w:val="center"/>
          </w:tcPr>
          <w:p w:rsidR="00103DE9" w:rsidRPr="005C236B" w:rsidRDefault="00103DE9" w:rsidP="00103DE9">
            <w:pPr>
              <w:spacing w:after="0" w:line="240" w:lineRule="auto"/>
              <w:jc w:val="center"/>
              <w:rPr>
                <w:rFonts w:ascii="Arial" w:hAnsi="Arial" w:cs="Arial"/>
                <w:b/>
                <w:sz w:val="18"/>
                <w:szCs w:val="18"/>
              </w:rPr>
            </w:pPr>
            <w:r w:rsidRPr="005C236B">
              <w:rPr>
                <w:rFonts w:ascii="Arial" w:hAnsi="Arial" w:cs="Arial"/>
                <w:b/>
                <w:sz w:val="18"/>
                <w:szCs w:val="18"/>
              </w:rPr>
              <w:t>Moderate (3)</w:t>
            </w:r>
          </w:p>
        </w:tc>
        <w:tc>
          <w:tcPr>
            <w:tcW w:w="1449" w:type="dxa"/>
            <w:tcBorders>
              <w:bottom w:val="single" w:sz="4" w:space="0" w:color="auto"/>
            </w:tcBorders>
            <w:vAlign w:val="center"/>
          </w:tcPr>
          <w:p w:rsidR="00103DE9" w:rsidRPr="005C236B" w:rsidRDefault="00103DE9" w:rsidP="00103DE9">
            <w:pPr>
              <w:spacing w:after="0" w:line="240" w:lineRule="auto"/>
              <w:jc w:val="center"/>
              <w:rPr>
                <w:rFonts w:ascii="Arial" w:hAnsi="Arial" w:cs="Arial"/>
                <w:b/>
                <w:sz w:val="18"/>
                <w:szCs w:val="18"/>
              </w:rPr>
            </w:pPr>
            <w:r w:rsidRPr="005C236B">
              <w:rPr>
                <w:rFonts w:ascii="Arial" w:hAnsi="Arial" w:cs="Arial"/>
                <w:b/>
                <w:sz w:val="18"/>
                <w:szCs w:val="18"/>
              </w:rPr>
              <w:t>Major (4)</w:t>
            </w:r>
          </w:p>
        </w:tc>
        <w:tc>
          <w:tcPr>
            <w:tcW w:w="1449" w:type="dxa"/>
            <w:tcBorders>
              <w:bottom w:val="single" w:sz="4" w:space="0" w:color="auto"/>
              <w:right w:val="single" w:sz="24" w:space="0" w:color="auto"/>
            </w:tcBorders>
            <w:vAlign w:val="center"/>
          </w:tcPr>
          <w:p w:rsidR="00103DE9" w:rsidRPr="005C236B" w:rsidRDefault="00103DE9" w:rsidP="00103DE9">
            <w:pPr>
              <w:spacing w:after="0" w:line="240" w:lineRule="auto"/>
              <w:jc w:val="center"/>
              <w:rPr>
                <w:rFonts w:ascii="Arial" w:hAnsi="Arial" w:cs="Arial"/>
                <w:b/>
                <w:sz w:val="18"/>
                <w:szCs w:val="18"/>
              </w:rPr>
            </w:pPr>
            <w:r w:rsidRPr="005C236B">
              <w:rPr>
                <w:rFonts w:ascii="Arial" w:hAnsi="Arial" w:cs="Arial"/>
                <w:b/>
                <w:sz w:val="18"/>
                <w:szCs w:val="18"/>
              </w:rPr>
              <w:t>Extreme (5)</w:t>
            </w:r>
          </w:p>
        </w:tc>
      </w:tr>
      <w:tr w:rsidR="00103DE9" w:rsidRPr="005C236B" w:rsidTr="00B70B7C">
        <w:trPr>
          <w:trHeight w:val="508"/>
        </w:trPr>
        <w:tc>
          <w:tcPr>
            <w:tcW w:w="2011" w:type="dxa"/>
            <w:tcBorders>
              <w:left w:val="single" w:sz="24" w:space="0" w:color="auto"/>
              <w:right w:val="single" w:sz="4" w:space="0" w:color="auto"/>
            </w:tcBorders>
            <w:vAlign w:val="center"/>
          </w:tcPr>
          <w:p w:rsidR="00103DE9" w:rsidRPr="005C236B" w:rsidRDefault="00103DE9" w:rsidP="00103DE9">
            <w:pPr>
              <w:spacing w:after="0" w:line="240" w:lineRule="auto"/>
              <w:rPr>
                <w:rFonts w:ascii="Arial" w:hAnsi="Arial" w:cs="Arial"/>
                <w:b/>
                <w:sz w:val="18"/>
                <w:szCs w:val="18"/>
              </w:rPr>
            </w:pPr>
            <w:r w:rsidRPr="005C236B">
              <w:rPr>
                <w:rFonts w:ascii="Arial" w:hAnsi="Arial" w:cs="Arial"/>
                <w:b/>
                <w:sz w:val="18"/>
                <w:szCs w:val="18"/>
              </w:rPr>
              <w:t>Almost Certain (5)</w:t>
            </w:r>
          </w:p>
        </w:tc>
        <w:tc>
          <w:tcPr>
            <w:tcW w:w="1529" w:type="dxa"/>
            <w:tcBorders>
              <w:left w:val="single" w:sz="4" w:space="0" w:color="auto"/>
            </w:tcBorders>
            <w:shd w:val="clear" w:color="auto" w:fill="FFFF00"/>
            <w:vAlign w:val="center"/>
          </w:tcPr>
          <w:p w:rsidR="00103DE9" w:rsidRPr="005C236B" w:rsidRDefault="00103DE9" w:rsidP="00103DE9">
            <w:pPr>
              <w:spacing w:after="0" w:line="240" w:lineRule="auto"/>
              <w:ind w:right="-108"/>
              <w:jc w:val="center"/>
              <w:rPr>
                <w:rFonts w:ascii="Arial" w:hAnsi="Arial" w:cs="Arial"/>
                <w:b/>
                <w:sz w:val="18"/>
                <w:szCs w:val="18"/>
              </w:rPr>
            </w:pPr>
            <w:r w:rsidRPr="005C236B">
              <w:rPr>
                <w:rFonts w:ascii="Arial" w:hAnsi="Arial" w:cs="Arial"/>
                <w:b/>
                <w:sz w:val="18"/>
                <w:szCs w:val="18"/>
              </w:rPr>
              <w:t>Medium</w:t>
            </w:r>
          </w:p>
        </w:tc>
        <w:tc>
          <w:tcPr>
            <w:tcW w:w="1449" w:type="dxa"/>
            <w:tcBorders>
              <w:bottom w:val="single" w:sz="4" w:space="0" w:color="auto"/>
            </w:tcBorders>
            <w:shd w:val="clear" w:color="auto" w:fill="FF9900"/>
            <w:vAlign w:val="center"/>
          </w:tcPr>
          <w:p w:rsidR="00103DE9" w:rsidRPr="005C236B" w:rsidRDefault="00103DE9" w:rsidP="00103DE9">
            <w:pPr>
              <w:spacing w:after="0" w:line="240" w:lineRule="auto"/>
              <w:jc w:val="center"/>
              <w:rPr>
                <w:rFonts w:ascii="Arial" w:hAnsi="Arial" w:cs="Arial"/>
                <w:b/>
                <w:sz w:val="18"/>
                <w:szCs w:val="18"/>
              </w:rPr>
            </w:pPr>
            <w:r w:rsidRPr="005C236B">
              <w:rPr>
                <w:rFonts w:ascii="Arial" w:hAnsi="Arial" w:cs="Arial"/>
                <w:b/>
                <w:sz w:val="18"/>
                <w:szCs w:val="18"/>
              </w:rPr>
              <w:t>High</w:t>
            </w:r>
          </w:p>
        </w:tc>
        <w:tc>
          <w:tcPr>
            <w:tcW w:w="1531" w:type="dxa"/>
            <w:tcBorders>
              <w:bottom w:val="single" w:sz="4" w:space="0" w:color="auto"/>
            </w:tcBorders>
            <w:shd w:val="clear" w:color="auto" w:fill="FF9900"/>
            <w:vAlign w:val="center"/>
          </w:tcPr>
          <w:p w:rsidR="00103DE9" w:rsidRPr="005C236B" w:rsidRDefault="00103DE9" w:rsidP="00103DE9">
            <w:pPr>
              <w:spacing w:after="0" w:line="240" w:lineRule="auto"/>
              <w:jc w:val="center"/>
              <w:rPr>
                <w:rFonts w:ascii="Arial" w:hAnsi="Arial" w:cs="Arial"/>
                <w:b/>
                <w:sz w:val="18"/>
                <w:szCs w:val="18"/>
              </w:rPr>
            </w:pPr>
            <w:r w:rsidRPr="005C236B">
              <w:rPr>
                <w:rFonts w:ascii="Arial" w:hAnsi="Arial" w:cs="Arial"/>
                <w:b/>
                <w:sz w:val="18"/>
                <w:szCs w:val="18"/>
              </w:rPr>
              <w:t>High</w:t>
            </w:r>
          </w:p>
        </w:tc>
        <w:tc>
          <w:tcPr>
            <w:tcW w:w="1449" w:type="dxa"/>
            <w:tcBorders>
              <w:bottom w:val="single" w:sz="4" w:space="0" w:color="auto"/>
            </w:tcBorders>
            <w:shd w:val="clear" w:color="auto" w:fill="FF0000"/>
            <w:vAlign w:val="center"/>
          </w:tcPr>
          <w:p w:rsidR="00103DE9" w:rsidRPr="005C236B" w:rsidRDefault="00103DE9" w:rsidP="00103DE9">
            <w:pPr>
              <w:spacing w:after="0" w:line="240" w:lineRule="auto"/>
              <w:ind w:right="-108"/>
              <w:jc w:val="center"/>
              <w:rPr>
                <w:rFonts w:ascii="Arial" w:hAnsi="Arial" w:cs="Arial"/>
                <w:b/>
                <w:color w:val="FFFFFF"/>
                <w:sz w:val="18"/>
                <w:szCs w:val="18"/>
              </w:rPr>
            </w:pPr>
            <w:r w:rsidRPr="005C236B">
              <w:rPr>
                <w:rFonts w:ascii="Arial" w:hAnsi="Arial" w:cs="Arial"/>
                <w:b/>
                <w:color w:val="FFFFFF"/>
                <w:sz w:val="18"/>
                <w:szCs w:val="18"/>
              </w:rPr>
              <w:t>Very High</w:t>
            </w:r>
          </w:p>
        </w:tc>
        <w:tc>
          <w:tcPr>
            <w:tcW w:w="1449" w:type="dxa"/>
            <w:tcBorders>
              <w:bottom w:val="single" w:sz="4" w:space="0" w:color="auto"/>
              <w:right w:val="single" w:sz="24" w:space="0" w:color="auto"/>
            </w:tcBorders>
            <w:shd w:val="clear" w:color="auto" w:fill="FF0000"/>
            <w:vAlign w:val="center"/>
          </w:tcPr>
          <w:p w:rsidR="00103DE9" w:rsidRPr="005C236B" w:rsidRDefault="00103DE9" w:rsidP="00103DE9">
            <w:pPr>
              <w:spacing w:after="0" w:line="240" w:lineRule="auto"/>
              <w:ind w:right="-108"/>
              <w:jc w:val="center"/>
              <w:rPr>
                <w:rFonts w:ascii="Arial" w:hAnsi="Arial" w:cs="Arial"/>
                <w:b/>
                <w:color w:val="FFFFFF"/>
                <w:sz w:val="18"/>
                <w:szCs w:val="18"/>
              </w:rPr>
            </w:pPr>
            <w:r w:rsidRPr="005C236B">
              <w:rPr>
                <w:rFonts w:ascii="Arial" w:hAnsi="Arial" w:cs="Arial"/>
                <w:b/>
                <w:color w:val="FFFFFF"/>
                <w:sz w:val="18"/>
                <w:szCs w:val="18"/>
              </w:rPr>
              <w:t>Very High</w:t>
            </w:r>
          </w:p>
        </w:tc>
      </w:tr>
      <w:tr w:rsidR="00103DE9" w:rsidRPr="005C236B" w:rsidTr="00B70B7C">
        <w:trPr>
          <w:trHeight w:val="464"/>
        </w:trPr>
        <w:tc>
          <w:tcPr>
            <w:tcW w:w="2011" w:type="dxa"/>
            <w:tcBorders>
              <w:left w:val="single" w:sz="24" w:space="0" w:color="auto"/>
              <w:right w:val="single" w:sz="4" w:space="0" w:color="auto"/>
            </w:tcBorders>
            <w:vAlign w:val="center"/>
          </w:tcPr>
          <w:p w:rsidR="00103DE9" w:rsidRPr="005C236B" w:rsidRDefault="00103DE9" w:rsidP="00103DE9">
            <w:pPr>
              <w:spacing w:after="0" w:line="240" w:lineRule="auto"/>
              <w:rPr>
                <w:rFonts w:ascii="Arial" w:hAnsi="Arial" w:cs="Arial"/>
                <w:b/>
                <w:sz w:val="18"/>
                <w:szCs w:val="18"/>
              </w:rPr>
            </w:pPr>
            <w:r w:rsidRPr="005C236B">
              <w:rPr>
                <w:rFonts w:ascii="Arial" w:hAnsi="Arial" w:cs="Arial"/>
                <w:b/>
                <w:sz w:val="18"/>
                <w:szCs w:val="18"/>
              </w:rPr>
              <w:t>Likely (4)</w:t>
            </w:r>
          </w:p>
        </w:tc>
        <w:tc>
          <w:tcPr>
            <w:tcW w:w="1529" w:type="dxa"/>
            <w:tcBorders>
              <w:left w:val="single" w:sz="4" w:space="0" w:color="auto"/>
              <w:bottom w:val="single" w:sz="4" w:space="0" w:color="auto"/>
              <w:right w:val="single" w:sz="4" w:space="0" w:color="auto"/>
            </w:tcBorders>
            <w:shd w:val="clear" w:color="auto" w:fill="FFFF00"/>
            <w:vAlign w:val="center"/>
          </w:tcPr>
          <w:p w:rsidR="00103DE9" w:rsidRPr="005C236B" w:rsidRDefault="00103DE9" w:rsidP="00103DE9">
            <w:pPr>
              <w:spacing w:after="0" w:line="240" w:lineRule="auto"/>
              <w:jc w:val="center"/>
              <w:rPr>
                <w:rFonts w:ascii="Arial" w:hAnsi="Arial" w:cs="Arial"/>
                <w:b/>
                <w:sz w:val="18"/>
                <w:szCs w:val="18"/>
              </w:rPr>
            </w:pPr>
            <w:r w:rsidRPr="005C236B">
              <w:rPr>
                <w:rFonts w:ascii="Arial" w:hAnsi="Arial" w:cs="Arial"/>
                <w:b/>
                <w:sz w:val="18"/>
                <w:szCs w:val="18"/>
              </w:rPr>
              <w:t>Medium</w:t>
            </w:r>
          </w:p>
        </w:tc>
        <w:tc>
          <w:tcPr>
            <w:tcW w:w="1449" w:type="dxa"/>
            <w:tcBorders>
              <w:left w:val="single" w:sz="4" w:space="0" w:color="auto"/>
              <w:bottom w:val="single" w:sz="4" w:space="0" w:color="auto"/>
            </w:tcBorders>
            <w:shd w:val="clear" w:color="auto" w:fill="FFFF00"/>
            <w:vAlign w:val="center"/>
          </w:tcPr>
          <w:p w:rsidR="00103DE9" w:rsidRPr="005C236B" w:rsidRDefault="00103DE9" w:rsidP="00103DE9">
            <w:pPr>
              <w:spacing w:after="0" w:line="240" w:lineRule="auto"/>
              <w:jc w:val="center"/>
              <w:rPr>
                <w:rFonts w:ascii="Arial" w:hAnsi="Arial" w:cs="Arial"/>
                <w:b/>
                <w:sz w:val="18"/>
                <w:szCs w:val="18"/>
              </w:rPr>
            </w:pPr>
            <w:r w:rsidRPr="005C236B">
              <w:rPr>
                <w:rFonts w:ascii="Arial" w:hAnsi="Arial" w:cs="Arial"/>
                <w:b/>
                <w:sz w:val="18"/>
                <w:szCs w:val="18"/>
              </w:rPr>
              <w:t>Medium</w:t>
            </w:r>
          </w:p>
        </w:tc>
        <w:tc>
          <w:tcPr>
            <w:tcW w:w="1531" w:type="dxa"/>
            <w:tcBorders>
              <w:bottom w:val="single" w:sz="4" w:space="0" w:color="auto"/>
            </w:tcBorders>
            <w:shd w:val="clear" w:color="auto" w:fill="FF9900"/>
            <w:vAlign w:val="center"/>
          </w:tcPr>
          <w:p w:rsidR="00103DE9" w:rsidRPr="005C236B" w:rsidRDefault="00103DE9" w:rsidP="00103DE9">
            <w:pPr>
              <w:spacing w:after="0" w:line="240" w:lineRule="auto"/>
              <w:jc w:val="center"/>
              <w:rPr>
                <w:rFonts w:ascii="Arial" w:hAnsi="Arial" w:cs="Arial"/>
                <w:b/>
                <w:sz w:val="18"/>
                <w:szCs w:val="18"/>
              </w:rPr>
            </w:pPr>
            <w:r w:rsidRPr="005C236B">
              <w:rPr>
                <w:rFonts w:ascii="Arial" w:hAnsi="Arial" w:cs="Arial"/>
                <w:b/>
                <w:sz w:val="18"/>
                <w:szCs w:val="18"/>
              </w:rPr>
              <w:t>High</w:t>
            </w:r>
          </w:p>
        </w:tc>
        <w:tc>
          <w:tcPr>
            <w:tcW w:w="1449" w:type="dxa"/>
            <w:tcBorders>
              <w:bottom w:val="single" w:sz="4" w:space="0" w:color="auto"/>
            </w:tcBorders>
            <w:shd w:val="clear" w:color="auto" w:fill="FF9900"/>
            <w:vAlign w:val="center"/>
          </w:tcPr>
          <w:p w:rsidR="00103DE9" w:rsidRPr="005C236B" w:rsidRDefault="00103DE9" w:rsidP="00103DE9">
            <w:pPr>
              <w:spacing w:after="0" w:line="240" w:lineRule="auto"/>
              <w:jc w:val="center"/>
              <w:rPr>
                <w:rFonts w:ascii="Arial" w:hAnsi="Arial" w:cs="Arial"/>
                <w:b/>
                <w:sz w:val="18"/>
                <w:szCs w:val="18"/>
              </w:rPr>
            </w:pPr>
            <w:r w:rsidRPr="005C236B">
              <w:rPr>
                <w:rFonts w:ascii="Arial" w:hAnsi="Arial" w:cs="Arial"/>
                <w:b/>
                <w:sz w:val="18"/>
                <w:szCs w:val="18"/>
              </w:rPr>
              <w:t>High</w:t>
            </w:r>
          </w:p>
        </w:tc>
        <w:tc>
          <w:tcPr>
            <w:tcW w:w="1449" w:type="dxa"/>
            <w:tcBorders>
              <w:bottom w:val="single" w:sz="4" w:space="0" w:color="auto"/>
              <w:right w:val="single" w:sz="24" w:space="0" w:color="auto"/>
            </w:tcBorders>
            <w:shd w:val="clear" w:color="auto" w:fill="FF0000"/>
            <w:vAlign w:val="center"/>
          </w:tcPr>
          <w:p w:rsidR="00103DE9" w:rsidRPr="005C236B" w:rsidRDefault="00103DE9" w:rsidP="00103DE9">
            <w:pPr>
              <w:spacing w:after="0" w:line="240" w:lineRule="auto"/>
              <w:jc w:val="center"/>
              <w:rPr>
                <w:rFonts w:ascii="Arial" w:hAnsi="Arial" w:cs="Arial"/>
                <w:b/>
                <w:color w:val="FFFFFF"/>
                <w:sz w:val="18"/>
                <w:szCs w:val="18"/>
              </w:rPr>
            </w:pPr>
            <w:r w:rsidRPr="005C236B">
              <w:rPr>
                <w:rFonts w:ascii="Arial" w:hAnsi="Arial" w:cs="Arial"/>
                <w:b/>
                <w:color w:val="FFFFFF"/>
                <w:sz w:val="18"/>
                <w:szCs w:val="18"/>
              </w:rPr>
              <w:t>Very High</w:t>
            </w:r>
          </w:p>
        </w:tc>
      </w:tr>
      <w:tr w:rsidR="00103DE9" w:rsidRPr="005C236B" w:rsidTr="00B70B7C">
        <w:trPr>
          <w:trHeight w:val="503"/>
        </w:trPr>
        <w:tc>
          <w:tcPr>
            <w:tcW w:w="2011" w:type="dxa"/>
            <w:tcBorders>
              <w:left w:val="single" w:sz="24" w:space="0" w:color="auto"/>
              <w:right w:val="single" w:sz="4" w:space="0" w:color="auto"/>
            </w:tcBorders>
            <w:vAlign w:val="center"/>
          </w:tcPr>
          <w:p w:rsidR="00103DE9" w:rsidRPr="005C236B" w:rsidRDefault="00103DE9" w:rsidP="00103DE9">
            <w:pPr>
              <w:spacing w:after="0" w:line="240" w:lineRule="auto"/>
              <w:rPr>
                <w:rFonts w:ascii="Arial" w:hAnsi="Arial" w:cs="Arial"/>
                <w:b/>
                <w:sz w:val="18"/>
                <w:szCs w:val="18"/>
              </w:rPr>
            </w:pPr>
            <w:r w:rsidRPr="005C236B">
              <w:rPr>
                <w:rFonts w:ascii="Arial" w:hAnsi="Arial" w:cs="Arial"/>
                <w:b/>
                <w:sz w:val="18"/>
                <w:szCs w:val="18"/>
              </w:rPr>
              <w:t>Possible (3)</w:t>
            </w:r>
          </w:p>
        </w:tc>
        <w:tc>
          <w:tcPr>
            <w:tcW w:w="1529" w:type="dxa"/>
            <w:tcBorders>
              <w:left w:val="single" w:sz="4" w:space="0" w:color="auto"/>
              <w:right w:val="single" w:sz="4" w:space="0" w:color="auto"/>
            </w:tcBorders>
            <w:shd w:val="clear" w:color="auto" w:fill="00FF00"/>
            <w:vAlign w:val="center"/>
          </w:tcPr>
          <w:p w:rsidR="00103DE9" w:rsidRPr="005C236B" w:rsidRDefault="00103DE9" w:rsidP="00103DE9">
            <w:pPr>
              <w:spacing w:after="0" w:line="240" w:lineRule="auto"/>
              <w:jc w:val="center"/>
              <w:rPr>
                <w:rFonts w:ascii="Arial" w:hAnsi="Arial" w:cs="Arial"/>
                <w:b/>
                <w:color w:val="000000" w:themeColor="text1"/>
                <w:sz w:val="18"/>
                <w:szCs w:val="18"/>
              </w:rPr>
            </w:pPr>
            <w:r w:rsidRPr="005C236B">
              <w:rPr>
                <w:rFonts w:ascii="Arial" w:hAnsi="Arial" w:cs="Arial"/>
                <w:b/>
                <w:color w:val="000000" w:themeColor="text1"/>
                <w:sz w:val="18"/>
                <w:szCs w:val="18"/>
              </w:rPr>
              <w:t>Low</w:t>
            </w:r>
          </w:p>
        </w:tc>
        <w:tc>
          <w:tcPr>
            <w:tcW w:w="1449" w:type="dxa"/>
            <w:tcBorders>
              <w:left w:val="single" w:sz="4" w:space="0" w:color="auto"/>
              <w:right w:val="single" w:sz="4" w:space="0" w:color="auto"/>
            </w:tcBorders>
            <w:shd w:val="clear" w:color="auto" w:fill="FFFF00"/>
            <w:vAlign w:val="center"/>
          </w:tcPr>
          <w:p w:rsidR="00103DE9" w:rsidRPr="005C236B" w:rsidRDefault="00103DE9" w:rsidP="00103DE9">
            <w:pPr>
              <w:spacing w:after="0" w:line="240" w:lineRule="auto"/>
              <w:jc w:val="center"/>
              <w:rPr>
                <w:rFonts w:ascii="Arial" w:hAnsi="Arial" w:cs="Arial"/>
                <w:b/>
                <w:sz w:val="18"/>
                <w:szCs w:val="18"/>
              </w:rPr>
            </w:pPr>
            <w:r w:rsidRPr="005C236B">
              <w:rPr>
                <w:rFonts w:ascii="Arial" w:hAnsi="Arial" w:cs="Arial"/>
                <w:b/>
                <w:sz w:val="18"/>
                <w:szCs w:val="18"/>
              </w:rPr>
              <w:t>Medium</w:t>
            </w:r>
          </w:p>
        </w:tc>
        <w:tc>
          <w:tcPr>
            <w:tcW w:w="1531" w:type="dxa"/>
            <w:tcBorders>
              <w:left w:val="single" w:sz="4" w:space="0" w:color="auto"/>
              <w:right w:val="single" w:sz="4" w:space="0" w:color="auto"/>
            </w:tcBorders>
            <w:shd w:val="clear" w:color="auto" w:fill="FFFF00"/>
            <w:vAlign w:val="center"/>
          </w:tcPr>
          <w:p w:rsidR="00103DE9" w:rsidRPr="005C236B" w:rsidRDefault="00103DE9" w:rsidP="00103DE9">
            <w:pPr>
              <w:spacing w:after="0" w:line="240" w:lineRule="auto"/>
              <w:jc w:val="center"/>
              <w:rPr>
                <w:rFonts w:ascii="Arial" w:hAnsi="Arial" w:cs="Arial"/>
                <w:b/>
                <w:sz w:val="18"/>
                <w:szCs w:val="18"/>
              </w:rPr>
            </w:pPr>
            <w:r w:rsidRPr="005C236B">
              <w:rPr>
                <w:rFonts w:ascii="Arial" w:hAnsi="Arial" w:cs="Arial"/>
                <w:b/>
                <w:sz w:val="18"/>
                <w:szCs w:val="18"/>
              </w:rPr>
              <w:t>Medium</w:t>
            </w:r>
          </w:p>
        </w:tc>
        <w:tc>
          <w:tcPr>
            <w:tcW w:w="1449" w:type="dxa"/>
            <w:tcBorders>
              <w:left w:val="single" w:sz="4" w:space="0" w:color="auto"/>
              <w:bottom w:val="single" w:sz="4" w:space="0" w:color="auto"/>
            </w:tcBorders>
            <w:shd w:val="clear" w:color="auto" w:fill="FF9900"/>
            <w:vAlign w:val="center"/>
          </w:tcPr>
          <w:p w:rsidR="00103DE9" w:rsidRPr="005C236B" w:rsidRDefault="00103DE9" w:rsidP="00103DE9">
            <w:pPr>
              <w:spacing w:after="0" w:line="240" w:lineRule="auto"/>
              <w:jc w:val="center"/>
              <w:rPr>
                <w:rFonts w:ascii="Arial" w:hAnsi="Arial" w:cs="Arial"/>
                <w:b/>
                <w:sz w:val="18"/>
                <w:szCs w:val="18"/>
              </w:rPr>
            </w:pPr>
            <w:r w:rsidRPr="005C236B">
              <w:rPr>
                <w:rFonts w:ascii="Arial" w:hAnsi="Arial" w:cs="Arial"/>
                <w:b/>
                <w:sz w:val="18"/>
                <w:szCs w:val="18"/>
              </w:rPr>
              <w:t>High</w:t>
            </w:r>
          </w:p>
        </w:tc>
        <w:tc>
          <w:tcPr>
            <w:tcW w:w="1449" w:type="dxa"/>
            <w:tcBorders>
              <w:bottom w:val="single" w:sz="4" w:space="0" w:color="auto"/>
              <w:right w:val="single" w:sz="24" w:space="0" w:color="auto"/>
            </w:tcBorders>
            <w:shd w:val="clear" w:color="auto" w:fill="FF9900"/>
            <w:vAlign w:val="center"/>
          </w:tcPr>
          <w:p w:rsidR="00103DE9" w:rsidRPr="005C236B" w:rsidRDefault="00103DE9" w:rsidP="00103DE9">
            <w:pPr>
              <w:spacing w:after="0" w:line="240" w:lineRule="auto"/>
              <w:jc w:val="center"/>
              <w:rPr>
                <w:rFonts w:ascii="Arial" w:hAnsi="Arial" w:cs="Arial"/>
                <w:b/>
                <w:sz w:val="18"/>
                <w:szCs w:val="18"/>
              </w:rPr>
            </w:pPr>
            <w:r w:rsidRPr="005C236B">
              <w:rPr>
                <w:rFonts w:ascii="Arial" w:hAnsi="Arial" w:cs="Arial"/>
                <w:b/>
                <w:sz w:val="18"/>
                <w:szCs w:val="18"/>
              </w:rPr>
              <w:t>High</w:t>
            </w:r>
          </w:p>
        </w:tc>
      </w:tr>
      <w:tr w:rsidR="00103DE9" w:rsidRPr="005C236B" w:rsidTr="00B70B7C">
        <w:trPr>
          <w:trHeight w:val="495"/>
        </w:trPr>
        <w:tc>
          <w:tcPr>
            <w:tcW w:w="2011" w:type="dxa"/>
            <w:tcBorders>
              <w:left w:val="single" w:sz="24" w:space="0" w:color="auto"/>
              <w:right w:val="single" w:sz="4" w:space="0" w:color="auto"/>
            </w:tcBorders>
            <w:vAlign w:val="center"/>
          </w:tcPr>
          <w:p w:rsidR="00103DE9" w:rsidRPr="005C236B" w:rsidRDefault="00103DE9" w:rsidP="00103DE9">
            <w:pPr>
              <w:spacing w:after="0" w:line="240" w:lineRule="auto"/>
              <w:rPr>
                <w:rFonts w:ascii="Arial" w:hAnsi="Arial" w:cs="Arial"/>
                <w:b/>
                <w:sz w:val="18"/>
                <w:szCs w:val="18"/>
              </w:rPr>
            </w:pPr>
            <w:r w:rsidRPr="005C236B">
              <w:rPr>
                <w:rFonts w:ascii="Arial" w:hAnsi="Arial" w:cs="Arial"/>
                <w:b/>
                <w:sz w:val="18"/>
                <w:szCs w:val="18"/>
              </w:rPr>
              <w:t>Unlikely (2)</w:t>
            </w:r>
          </w:p>
        </w:tc>
        <w:tc>
          <w:tcPr>
            <w:tcW w:w="1529" w:type="dxa"/>
            <w:tcBorders>
              <w:left w:val="single" w:sz="4" w:space="0" w:color="auto"/>
              <w:right w:val="single" w:sz="4" w:space="0" w:color="auto"/>
            </w:tcBorders>
            <w:shd w:val="clear" w:color="auto" w:fill="00FF00"/>
            <w:vAlign w:val="center"/>
          </w:tcPr>
          <w:p w:rsidR="00103DE9" w:rsidRPr="005C236B" w:rsidRDefault="00103DE9" w:rsidP="00103DE9">
            <w:pPr>
              <w:spacing w:after="0" w:line="240" w:lineRule="auto"/>
              <w:jc w:val="center"/>
              <w:rPr>
                <w:rFonts w:ascii="Arial" w:hAnsi="Arial" w:cs="Arial"/>
                <w:b/>
                <w:color w:val="000000" w:themeColor="text1"/>
                <w:sz w:val="18"/>
                <w:szCs w:val="18"/>
              </w:rPr>
            </w:pPr>
            <w:r w:rsidRPr="005C236B">
              <w:rPr>
                <w:rFonts w:ascii="Arial" w:hAnsi="Arial" w:cs="Arial"/>
                <w:b/>
                <w:color w:val="000000" w:themeColor="text1"/>
                <w:sz w:val="18"/>
                <w:szCs w:val="18"/>
              </w:rPr>
              <w:t>Low</w:t>
            </w:r>
          </w:p>
        </w:tc>
        <w:tc>
          <w:tcPr>
            <w:tcW w:w="1449" w:type="dxa"/>
            <w:tcBorders>
              <w:left w:val="single" w:sz="4" w:space="0" w:color="auto"/>
              <w:bottom w:val="single" w:sz="4" w:space="0" w:color="auto"/>
              <w:right w:val="single" w:sz="4" w:space="0" w:color="auto"/>
            </w:tcBorders>
            <w:shd w:val="clear" w:color="auto" w:fill="FFFF00"/>
            <w:vAlign w:val="center"/>
          </w:tcPr>
          <w:p w:rsidR="00103DE9" w:rsidRPr="005C236B" w:rsidRDefault="00103DE9" w:rsidP="00103DE9">
            <w:pPr>
              <w:spacing w:after="0" w:line="240" w:lineRule="auto"/>
              <w:jc w:val="center"/>
              <w:rPr>
                <w:rFonts w:ascii="Arial" w:hAnsi="Arial" w:cs="Arial"/>
                <w:b/>
                <w:sz w:val="18"/>
                <w:szCs w:val="18"/>
              </w:rPr>
            </w:pPr>
            <w:r w:rsidRPr="005C236B">
              <w:rPr>
                <w:rFonts w:ascii="Arial" w:hAnsi="Arial" w:cs="Arial"/>
                <w:b/>
                <w:sz w:val="18"/>
                <w:szCs w:val="18"/>
              </w:rPr>
              <w:t>Medium</w:t>
            </w:r>
          </w:p>
        </w:tc>
        <w:tc>
          <w:tcPr>
            <w:tcW w:w="1531" w:type="dxa"/>
            <w:tcBorders>
              <w:left w:val="single" w:sz="4" w:space="0" w:color="auto"/>
              <w:bottom w:val="single" w:sz="4" w:space="0" w:color="auto"/>
              <w:right w:val="single" w:sz="4" w:space="0" w:color="auto"/>
            </w:tcBorders>
            <w:shd w:val="clear" w:color="auto" w:fill="FFFF00"/>
            <w:vAlign w:val="center"/>
          </w:tcPr>
          <w:p w:rsidR="00103DE9" w:rsidRPr="005C236B" w:rsidRDefault="00103DE9" w:rsidP="00103DE9">
            <w:pPr>
              <w:spacing w:after="0" w:line="240" w:lineRule="auto"/>
              <w:jc w:val="center"/>
              <w:rPr>
                <w:rFonts w:ascii="Arial" w:hAnsi="Arial" w:cs="Arial"/>
                <w:b/>
                <w:sz w:val="18"/>
                <w:szCs w:val="18"/>
              </w:rPr>
            </w:pPr>
            <w:r w:rsidRPr="005C236B">
              <w:rPr>
                <w:rFonts w:ascii="Arial" w:hAnsi="Arial" w:cs="Arial"/>
                <w:b/>
                <w:sz w:val="18"/>
                <w:szCs w:val="18"/>
              </w:rPr>
              <w:t>Medium</w:t>
            </w:r>
          </w:p>
        </w:tc>
        <w:tc>
          <w:tcPr>
            <w:tcW w:w="1449" w:type="dxa"/>
            <w:tcBorders>
              <w:left w:val="single" w:sz="4" w:space="0" w:color="auto"/>
            </w:tcBorders>
            <w:shd w:val="clear" w:color="auto" w:fill="FFFF00"/>
            <w:vAlign w:val="center"/>
          </w:tcPr>
          <w:p w:rsidR="00103DE9" w:rsidRPr="005C236B" w:rsidRDefault="00103DE9" w:rsidP="00103DE9">
            <w:pPr>
              <w:spacing w:after="0" w:line="240" w:lineRule="auto"/>
              <w:jc w:val="center"/>
              <w:rPr>
                <w:rFonts w:ascii="Arial" w:hAnsi="Arial" w:cs="Arial"/>
                <w:b/>
                <w:sz w:val="18"/>
                <w:szCs w:val="18"/>
              </w:rPr>
            </w:pPr>
            <w:r w:rsidRPr="005C236B">
              <w:rPr>
                <w:rFonts w:ascii="Arial" w:hAnsi="Arial" w:cs="Arial"/>
                <w:b/>
                <w:sz w:val="18"/>
                <w:szCs w:val="18"/>
              </w:rPr>
              <w:t>Medium</w:t>
            </w:r>
          </w:p>
        </w:tc>
        <w:tc>
          <w:tcPr>
            <w:tcW w:w="1449" w:type="dxa"/>
            <w:tcBorders>
              <w:bottom w:val="single" w:sz="4" w:space="0" w:color="auto"/>
              <w:right w:val="single" w:sz="24" w:space="0" w:color="auto"/>
            </w:tcBorders>
            <w:shd w:val="clear" w:color="auto" w:fill="FF9900"/>
            <w:vAlign w:val="center"/>
          </w:tcPr>
          <w:p w:rsidR="00103DE9" w:rsidRPr="005C236B" w:rsidRDefault="00103DE9" w:rsidP="00103DE9">
            <w:pPr>
              <w:spacing w:after="0" w:line="240" w:lineRule="auto"/>
              <w:jc w:val="center"/>
              <w:rPr>
                <w:rFonts w:ascii="Arial" w:hAnsi="Arial" w:cs="Arial"/>
                <w:b/>
                <w:sz w:val="18"/>
                <w:szCs w:val="18"/>
              </w:rPr>
            </w:pPr>
            <w:r w:rsidRPr="005C236B">
              <w:rPr>
                <w:rFonts w:ascii="Arial" w:hAnsi="Arial" w:cs="Arial"/>
                <w:b/>
                <w:sz w:val="18"/>
                <w:szCs w:val="18"/>
              </w:rPr>
              <w:t>High</w:t>
            </w:r>
          </w:p>
        </w:tc>
      </w:tr>
      <w:tr w:rsidR="00103DE9" w:rsidRPr="005C236B" w:rsidTr="00B70B7C">
        <w:trPr>
          <w:trHeight w:val="469"/>
        </w:trPr>
        <w:tc>
          <w:tcPr>
            <w:tcW w:w="2011" w:type="dxa"/>
            <w:tcBorders>
              <w:left w:val="single" w:sz="24" w:space="0" w:color="auto"/>
              <w:bottom w:val="single" w:sz="24" w:space="0" w:color="auto"/>
              <w:right w:val="single" w:sz="4" w:space="0" w:color="auto"/>
            </w:tcBorders>
            <w:vAlign w:val="center"/>
          </w:tcPr>
          <w:p w:rsidR="00103DE9" w:rsidRPr="005C236B" w:rsidRDefault="00103DE9" w:rsidP="00103DE9">
            <w:pPr>
              <w:spacing w:after="0" w:line="240" w:lineRule="auto"/>
              <w:rPr>
                <w:rFonts w:ascii="Arial" w:hAnsi="Arial" w:cs="Arial"/>
                <w:b/>
                <w:sz w:val="18"/>
                <w:szCs w:val="18"/>
              </w:rPr>
            </w:pPr>
            <w:r w:rsidRPr="005C236B">
              <w:rPr>
                <w:rFonts w:ascii="Arial" w:hAnsi="Arial" w:cs="Arial"/>
                <w:b/>
                <w:sz w:val="18"/>
                <w:szCs w:val="18"/>
              </w:rPr>
              <w:t>Rare (1)</w:t>
            </w:r>
          </w:p>
        </w:tc>
        <w:tc>
          <w:tcPr>
            <w:tcW w:w="1529" w:type="dxa"/>
            <w:tcBorders>
              <w:left w:val="single" w:sz="4" w:space="0" w:color="auto"/>
              <w:bottom w:val="single" w:sz="24" w:space="0" w:color="auto"/>
            </w:tcBorders>
            <w:shd w:val="clear" w:color="auto" w:fill="00FF00"/>
            <w:vAlign w:val="center"/>
          </w:tcPr>
          <w:p w:rsidR="00103DE9" w:rsidRPr="005C236B" w:rsidRDefault="00103DE9" w:rsidP="00103DE9">
            <w:pPr>
              <w:spacing w:after="0" w:line="240" w:lineRule="auto"/>
              <w:jc w:val="center"/>
              <w:rPr>
                <w:rFonts w:ascii="Arial" w:hAnsi="Arial" w:cs="Arial"/>
                <w:b/>
                <w:color w:val="000000" w:themeColor="text1"/>
                <w:sz w:val="18"/>
                <w:szCs w:val="18"/>
              </w:rPr>
            </w:pPr>
            <w:r w:rsidRPr="005C236B">
              <w:rPr>
                <w:rFonts w:ascii="Arial" w:hAnsi="Arial" w:cs="Arial"/>
                <w:b/>
                <w:color w:val="000000" w:themeColor="text1"/>
                <w:sz w:val="18"/>
                <w:szCs w:val="18"/>
              </w:rPr>
              <w:t>Low</w:t>
            </w:r>
          </w:p>
        </w:tc>
        <w:tc>
          <w:tcPr>
            <w:tcW w:w="1449" w:type="dxa"/>
            <w:tcBorders>
              <w:bottom w:val="single" w:sz="24" w:space="0" w:color="auto"/>
              <w:right w:val="single" w:sz="4" w:space="0" w:color="auto"/>
            </w:tcBorders>
            <w:shd w:val="clear" w:color="auto" w:fill="00FF00"/>
            <w:vAlign w:val="center"/>
          </w:tcPr>
          <w:p w:rsidR="00103DE9" w:rsidRPr="005C236B" w:rsidRDefault="00103DE9" w:rsidP="00103DE9">
            <w:pPr>
              <w:spacing w:after="0" w:line="240" w:lineRule="auto"/>
              <w:jc w:val="center"/>
              <w:rPr>
                <w:rFonts w:ascii="Arial" w:hAnsi="Arial" w:cs="Arial"/>
                <w:b/>
                <w:color w:val="000000" w:themeColor="text1"/>
                <w:sz w:val="18"/>
                <w:szCs w:val="18"/>
              </w:rPr>
            </w:pPr>
            <w:r w:rsidRPr="005C236B">
              <w:rPr>
                <w:rFonts w:ascii="Arial" w:hAnsi="Arial" w:cs="Arial"/>
                <w:b/>
                <w:color w:val="000000" w:themeColor="text1"/>
                <w:sz w:val="18"/>
                <w:szCs w:val="18"/>
              </w:rPr>
              <w:t>Low</w:t>
            </w:r>
          </w:p>
        </w:tc>
        <w:tc>
          <w:tcPr>
            <w:tcW w:w="1531" w:type="dxa"/>
            <w:tcBorders>
              <w:left w:val="single" w:sz="4" w:space="0" w:color="auto"/>
              <w:bottom w:val="single" w:sz="24" w:space="0" w:color="auto"/>
              <w:right w:val="single" w:sz="4" w:space="0" w:color="auto"/>
            </w:tcBorders>
            <w:shd w:val="clear" w:color="auto" w:fill="00FF00"/>
            <w:vAlign w:val="center"/>
          </w:tcPr>
          <w:p w:rsidR="00103DE9" w:rsidRPr="005C236B" w:rsidRDefault="00103DE9" w:rsidP="00103DE9">
            <w:pPr>
              <w:spacing w:after="0" w:line="240" w:lineRule="auto"/>
              <w:jc w:val="center"/>
              <w:rPr>
                <w:rFonts w:ascii="Arial" w:hAnsi="Arial" w:cs="Arial"/>
                <w:b/>
                <w:color w:val="000000" w:themeColor="text1"/>
                <w:sz w:val="18"/>
                <w:szCs w:val="18"/>
              </w:rPr>
            </w:pPr>
            <w:r w:rsidRPr="005C236B">
              <w:rPr>
                <w:rFonts w:ascii="Arial" w:hAnsi="Arial" w:cs="Arial"/>
                <w:b/>
                <w:color w:val="000000" w:themeColor="text1"/>
                <w:sz w:val="18"/>
                <w:szCs w:val="18"/>
              </w:rPr>
              <w:t>Low</w:t>
            </w:r>
          </w:p>
        </w:tc>
        <w:tc>
          <w:tcPr>
            <w:tcW w:w="1449" w:type="dxa"/>
            <w:tcBorders>
              <w:left w:val="single" w:sz="4" w:space="0" w:color="auto"/>
              <w:bottom w:val="single" w:sz="24" w:space="0" w:color="auto"/>
              <w:right w:val="single" w:sz="4" w:space="0" w:color="auto"/>
            </w:tcBorders>
            <w:shd w:val="clear" w:color="auto" w:fill="FFFF00"/>
            <w:vAlign w:val="center"/>
          </w:tcPr>
          <w:p w:rsidR="00103DE9" w:rsidRPr="005C236B" w:rsidRDefault="00103DE9" w:rsidP="00103DE9">
            <w:pPr>
              <w:spacing w:after="0" w:line="240" w:lineRule="auto"/>
              <w:jc w:val="center"/>
              <w:rPr>
                <w:rFonts w:ascii="Arial" w:hAnsi="Arial" w:cs="Arial"/>
                <w:b/>
                <w:sz w:val="18"/>
                <w:szCs w:val="18"/>
              </w:rPr>
            </w:pPr>
            <w:r w:rsidRPr="005C236B">
              <w:rPr>
                <w:rFonts w:ascii="Arial" w:hAnsi="Arial" w:cs="Arial"/>
                <w:b/>
                <w:sz w:val="18"/>
                <w:szCs w:val="18"/>
              </w:rPr>
              <w:t>Medium</w:t>
            </w:r>
          </w:p>
        </w:tc>
        <w:tc>
          <w:tcPr>
            <w:tcW w:w="1449" w:type="dxa"/>
            <w:tcBorders>
              <w:left w:val="single" w:sz="4" w:space="0" w:color="auto"/>
              <w:bottom w:val="single" w:sz="24" w:space="0" w:color="auto"/>
              <w:right w:val="single" w:sz="24" w:space="0" w:color="auto"/>
            </w:tcBorders>
            <w:shd w:val="clear" w:color="auto" w:fill="FFFF00"/>
            <w:vAlign w:val="center"/>
          </w:tcPr>
          <w:p w:rsidR="00103DE9" w:rsidRPr="005C236B" w:rsidRDefault="00103DE9" w:rsidP="00103DE9">
            <w:pPr>
              <w:spacing w:after="0" w:line="240" w:lineRule="auto"/>
              <w:jc w:val="center"/>
              <w:rPr>
                <w:rFonts w:ascii="Arial" w:hAnsi="Arial" w:cs="Arial"/>
                <w:b/>
                <w:sz w:val="18"/>
                <w:szCs w:val="18"/>
              </w:rPr>
            </w:pPr>
            <w:r w:rsidRPr="005C236B">
              <w:rPr>
                <w:rFonts w:ascii="Arial" w:hAnsi="Arial" w:cs="Arial"/>
                <w:b/>
                <w:sz w:val="18"/>
                <w:szCs w:val="18"/>
              </w:rPr>
              <w:t>Medium</w:t>
            </w:r>
          </w:p>
        </w:tc>
      </w:tr>
    </w:tbl>
    <w:p w:rsidR="007A5ADA" w:rsidRPr="007A5ADA" w:rsidRDefault="007A5ADA" w:rsidP="009724D8">
      <w:pPr>
        <w:pStyle w:val="Heading2"/>
        <w:rPr>
          <w:rFonts w:eastAsia="Times New Roman"/>
          <w:lang w:eastAsia="en-GB"/>
        </w:rPr>
      </w:pPr>
      <w:bookmarkStart w:id="11" w:name="_Toc408559409"/>
      <w:bookmarkStart w:id="12" w:name="_Toc415492006"/>
      <w:r w:rsidRPr="007A5ADA">
        <w:rPr>
          <w:rFonts w:eastAsia="Times New Roman"/>
          <w:lang w:eastAsia="en-GB"/>
        </w:rPr>
        <w:lastRenderedPageBreak/>
        <w:t>Control</w:t>
      </w:r>
      <w:bookmarkEnd w:id="11"/>
      <w:bookmarkEnd w:id="12"/>
    </w:p>
    <w:p w:rsidR="007A5ADA" w:rsidRPr="007A5ADA" w:rsidRDefault="007A5ADA" w:rsidP="00DE0466">
      <w:pPr>
        <w:pStyle w:val="Standardparagraph"/>
        <w:rPr>
          <w:lang w:eastAsia="en-GB"/>
        </w:rPr>
      </w:pPr>
      <w:r w:rsidRPr="007A5ADA">
        <w:rPr>
          <w:lang w:eastAsia="en-GB"/>
        </w:rPr>
        <w:t xml:space="preserve">Once risks have been identified and assessed they must </w:t>
      </w:r>
      <w:r w:rsidR="00DE0466">
        <w:rPr>
          <w:lang w:eastAsia="en-GB"/>
        </w:rPr>
        <w:t xml:space="preserve">then </w:t>
      </w:r>
      <w:r w:rsidRPr="007A5ADA">
        <w:rPr>
          <w:lang w:eastAsia="en-GB"/>
        </w:rPr>
        <w:t>be addressed a</w:t>
      </w:r>
      <w:r w:rsidR="00DE0466">
        <w:rPr>
          <w:lang w:eastAsia="en-GB"/>
        </w:rPr>
        <w:t>nd controlled. The response will need to</w:t>
      </w:r>
      <w:r w:rsidRPr="007A5ADA">
        <w:rPr>
          <w:lang w:eastAsia="en-GB"/>
        </w:rPr>
        <w:t xml:space="preserve"> be p</w:t>
      </w:r>
      <w:r w:rsidR="00DE0466">
        <w:rPr>
          <w:lang w:eastAsia="en-GB"/>
        </w:rPr>
        <w:t>roportionate to the level of</w:t>
      </w:r>
      <w:r w:rsidRPr="007A5ADA">
        <w:rPr>
          <w:lang w:eastAsia="en-GB"/>
        </w:rPr>
        <w:t xml:space="preserve"> risk that will have been determined as part of the risk assessment.</w:t>
      </w:r>
      <w:r w:rsidR="00DE0466">
        <w:rPr>
          <w:lang w:eastAsia="en-GB"/>
        </w:rPr>
        <w:t xml:space="preserve"> </w:t>
      </w:r>
      <w:r w:rsidRPr="007A5ADA">
        <w:rPr>
          <w:lang w:eastAsia="en-GB"/>
        </w:rPr>
        <w:t xml:space="preserve"> The </w:t>
      </w:r>
      <w:r w:rsidR="000D5924">
        <w:rPr>
          <w:lang w:eastAsia="en-GB"/>
        </w:rPr>
        <w:t xml:space="preserve">following </w:t>
      </w:r>
      <w:r w:rsidRPr="007A5ADA">
        <w:rPr>
          <w:lang w:eastAsia="en-GB"/>
        </w:rPr>
        <w:t xml:space="preserve">suggests four response </w:t>
      </w:r>
      <w:r w:rsidR="00DE0466">
        <w:rPr>
          <w:lang w:eastAsia="en-GB"/>
        </w:rPr>
        <w:t xml:space="preserve">types </w:t>
      </w:r>
      <w:r w:rsidRPr="007A5ADA">
        <w:rPr>
          <w:lang w:eastAsia="en-GB"/>
        </w:rPr>
        <w:t xml:space="preserve">that </w:t>
      </w:r>
      <w:r w:rsidR="00DE0466">
        <w:rPr>
          <w:lang w:eastAsia="en-GB"/>
        </w:rPr>
        <w:t xml:space="preserve">can </w:t>
      </w:r>
      <w:r w:rsidRPr="007A5ADA">
        <w:rPr>
          <w:lang w:eastAsia="en-GB"/>
        </w:rPr>
        <w:t>be used to address risks at different levels.</w:t>
      </w:r>
    </w:p>
    <w:p w:rsidR="007A5ADA" w:rsidRPr="007A57C8" w:rsidRDefault="007A5ADA" w:rsidP="00DE0466">
      <w:pPr>
        <w:pStyle w:val="Heading3"/>
        <w:rPr>
          <w:rFonts w:eastAsia="Times New Roman"/>
          <w:lang w:eastAsia="en-GB"/>
        </w:rPr>
      </w:pPr>
      <w:r w:rsidRPr="007A57C8">
        <w:rPr>
          <w:rFonts w:eastAsia="Times New Roman"/>
          <w:lang w:eastAsia="en-GB"/>
        </w:rPr>
        <w:t>Tolerate</w:t>
      </w:r>
    </w:p>
    <w:p w:rsidR="007A5ADA" w:rsidRPr="007A5ADA" w:rsidRDefault="00DE0466" w:rsidP="00DE0466">
      <w:pPr>
        <w:pStyle w:val="Standardparagraph"/>
        <w:rPr>
          <w:lang w:eastAsia="en-GB"/>
        </w:rPr>
      </w:pPr>
      <w:r>
        <w:rPr>
          <w:lang w:eastAsia="en-GB"/>
        </w:rPr>
        <w:t xml:space="preserve">Risks should only be </w:t>
      </w:r>
      <w:r w:rsidR="007A5ADA" w:rsidRPr="007A5ADA">
        <w:rPr>
          <w:lang w:eastAsia="en-GB"/>
        </w:rPr>
        <w:t>tolerated if the</w:t>
      </w:r>
      <w:r>
        <w:rPr>
          <w:lang w:eastAsia="en-GB"/>
        </w:rPr>
        <w:t xml:space="preserve"> result of their assessment is that they are L</w:t>
      </w:r>
      <w:r w:rsidR="007A5ADA" w:rsidRPr="007A5ADA">
        <w:rPr>
          <w:lang w:eastAsia="en-GB"/>
        </w:rPr>
        <w:t xml:space="preserve">ow </w:t>
      </w:r>
      <w:r>
        <w:rPr>
          <w:lang w:eastAsia="en-GB"/>
        </w:rPr>
        <w:t>risk and that t</w:t>
      </w:r>
      <w:r w:rsidR="007A5ADA" w:rsidRPr="007A5ADA">
        <w:rPr>
          <w:lang w:eastAsia="en-GB"/>
        </w:rPr>
        <w:t xml:space="preserve">he cost of taking an action </w:t>
      </w:r>
      <w:r>
        <w:rPr>
          <w:lang w:eastAsia="en-GB"/>
        </w:rPr>
        <w:t>would be</w:t>
      </w:r>
      <w:r w:rsidR="007A5ADA" w:rsidRPr="007A5ADA">
        <w:rPr>
          <w:lang w:eastAsia="en-GB"/>
        </w:rPr>
        <w:t xml:space="preserve"> disproportionate to the potential benefit gained. This does not mean no action should be taken at all. </w:t>
      </w:r>
      <w:r>
        <w:rPr>
          <w:lang w:eastAsia="en-GB"/>
        </w:rPr>
        <w:t xml:space="preserve">They should </w:t>
      </w:r>
      <w:r w:rsidR="007A5ADA" w:rsidRPr="007A5ADA">
        <w:rPr>
          <w:lang w:eastAsia="en-GB"/>
        </w:rPr>
        <w:t xml:space="preserve">continue to </w:t>
      </w:r>
      <w:r>
        <w:rPr>
          <w:lang w:eastAsia="en-GB"/>
        </w:rPr>
        <w:t xml:space="preserve">be </w:t>
      </w:r>
      <w:r w:rsidR="007A5ADA" w:rsidRPr="007A5ADA">
        <w:rPr>
          <w:lang w:eastAsia="en-GB"/>
        </w:rPr>
        <w:t>monitor</w:t>
      </w:r>
      <w:r>
        <w:rPr>
          <w:lang w:eastAsia="en-GB"/>
        </w:rPr>
        <w:t>ed</w:t>
      </w:r>
      <w:r w:rsidR="007A5ADA" w:rsidRPr="007A5ADA">
        <w:rPr>
          <w:lang w:eastAsia="en-GB"/>
        </w:rPr>
        <w:t xml:space="preserve"> and any changes in the situation </w:t>
      </w:r>
      <w:r>
        <w:rPr>
          <w:lang w:eastAsia="en-GB"/>
        </w:rPr>
        <w:t xml:space="preserve">noted </w:t>
      </w:r>
      <w:r w:rsidR="007A5ADA" w:rsidRPr="007A5ADA">
        <w:rPr>
          <w:lang w:eastAsia="en-GB"/>
        </w:rPr>
        <w:t>that may result in an increased level of risk.</w:t>
      </w:r>
    </w:p>
    <w:p w:rsidR="007A5ADA" w:rsidRPr="007A57C8" w:rsidRDefault="000D5924" w:rsidP="00DE0466">
      <w:pPr>
        <w:pStyle w:val="Heading3"/>
        <w:rPr>
          <w:rFonts w:eastAsia="Times New Roman"/>
          <w:lang w:eastAsia="en-GB"/>
        </w:rPr>
      </w:pPr>
      <w:r w:rsidRPr="007A57C8">
        <w:rPr>
          <w:rFonts w:eastAsia="Times New Roman"/>
          <w:lang w:eastAsia="en-GB"/>
        </w:rPr>
        <w:t>Mitigate</w:t>
      </w:r>
    </w:p>
    <w:p w:rsidR="00892833" w:rsidRDefault="009A7A87" w:rsidP="00DE0466">
      <w:pPr>
        <w:pStyle w:val="Standardparagraph"/>
        <w:rPr>
          <w:lang w:eastAsia="en-GB"/>
        </w:rPr>
      </w:pPr>
      <w:r>
        <w:rPr>
          <w:lang w:eastAsia="en-GB"/>
        </w:rPr>
        <w:t>The purpose of 'mitigating</w:t>
      </w:r>
      <w:r w:rsidR="007A5ADA" w:rsidRPr="007A5ADA">
        <w:rPr>
          <w:lang w:eastAsia="en-GB"/>
        </w:rPr>
        <w:t xml:space="preserve">' a risk is to reduce the risk to an acceptable level for the organisation. </w:t>
      </w:r>
      <w:r w:rsidR="00892833">
        <w:rPr>
          <w:lang w:eastAsia="en-GB"/>
        </w:rPr>
        <w:t xml:space="preserve"> </w:t>
      </w:r>
      <w:r w:rsidR="007A5ADA" w:rsidRPr="007A5ADA">
        <w:rPr>
          <w:lang w:eastAsia="en-GB"/>
        </w:rPr>
        <w:t xml:space="preserve">It is likely that a large number of risks will belong to this category. There are many courses of action </w:t>
      </w:r>
      <w:r w:rsidR="00892833">
        <w:rPr>
          <w:lang w:eastAsia="en-GB"/>
        </w:rPr>
        <w:t xml:space="preserve">an organisation could take to </w:t>
      </w:r>
      <w:proofErr w:type="gramStart"/>
      <w:r w:rsidR="00892833">
        <w:rPr>
          <w:lang w:eastAsia="en-GB"/>
        </w:rPr>
        <w:t>mitigate</w:t>
      </w:r>
      <w:proofErr w:type="gramEnd"/>
      <w:r w:rsidR="00892833">
        <w:rPr>
          <w:lang w:eastAsia="en-GB"/>
        </w:rPr>
        <w:t xml:space="preserve"> against</w:t>
      </w:r>
      <w:r w:rsidR="007A5ADA" w:rsidRPr="007A5ADA">
        <w:rPr>
          <w:lang w:eastAsia="en-GB"/>
        </w:rPr>
        <w:t xml:space="preserve"> risks</w:t>
      </w:r>
      <w:r w:rsidR="00892833">
        <w:rPr>
          <w:lang w:eastAsia="en-GB"/>
        </w:rPr>
        <w:t>, for example:</w:t>
      </w:r>
    </w:p>
    <w:p w:rsidR="00892833" w:rsidRDefault="00892833" w:rsidP="007A57C8">
      <w:pPr>
        <w:pStyle w:val="Standardbullet"/>
        <w:numPr>
          <w:ilvl w:val="1"/>
          <w:numId w:val="1"/>
        </w:numPr>
      </w:pPr>
      <w:r w:rsidRPr="00F41D2E">
        <w:t>Consulting early;</w:t>
      </w:r>
    </w:p>
    <w:p w:rsidR="00892833" w:rsidRDefault="00892833" w:rsidP="007A57C8">
      <w:pPr>
        <w:pStyle w:val="Standardbullet"/>
        <w:numPr>
          <w:ilvl w:val="1"/>
          <w:numId w:val="1"/>
        </w:numPr>
      </w:pPr>
      <w:r w:rsidRPr="00F41D2E">
        <w:t>Avoiding irreversible decisions;</w:t>
      </w:r>
    </w:p>
    <w:p w:rsidR="00892833" w:rsidRDefault="00892833" w:rsidP="007A57C8">
      <w:pPr>
        <w:pStyle w:val="Standardbullet"/>
        <w:numPr>
          <w:ilvl w:val="1"/>
          <w:numId w:val="1"/>
        </w:numPr>
      </w:pPr>
      <w:r w:rsidRPr="00F41D2E">
        <w:t>Carrying out pilot studies;</w:t>
      </w:r>
    </w:p>
    <w:p w:rsidR="00892833" w:rsidRDefault="00892833" w:rsidP="007A57C8">
      <w:pPr>
        <w:pStyle w:val="Standardbullet"/>
        <w:numPr>
          <w:ilvl w:val="1"/>
          <w:numId w:val="1"/>
        </w:numPr>
      </w:pPr>
      <w:r w:rsidRPr="00F41D2E">
        <w:t>Building in flexibility from the start;</w:t>
      </w:r>
    </w:p>
    <w:p w:rsidR="00892833" w:rsidRDefault="00892833" w:rsidP="007A57C8">
      <w:pPr>
        <w:pStyle w:val="Standardbullet"/>
        <w:numPr>
          <w:ilvl w:val="1"/>
          <w:numId w:val="1"/>
        </w:numPr>
      </w:pPr>
      <w:r w:rsidRPr="00F41D2E">
        <w:t>Taking precautionary action;</w:t>
      </w:r>
    </w:p>
    <w:p w:rsidR="00892833" w:rsidRDefault="00892833" w:rsidP="007A57C8">
      <w:pPr>
        <w:pStyle w:val="Standardbullet"/>
        <w:numPr>
          <w:ilvl w:val="1"/>
          <w:numId w:val="1"/>
        </w:numPr>
      </w:pPr>
      <w:r w:rsidRPr="00F41D2E">
        <w:t>Transferring risk through contractual arrangements (insurance being an example);</w:t>
      </w:r>
    </w:p>
    <w:p w:rsidR="00892833" w:rsidRDefault="00892833" w:rsidP="007A57C8">
      <w:pPr>
        <w:pStyle w:val="Standardbullet"/>
        <w:numPr>
          <w:ilvl w:val="1"/>
          <w:numId w:val="1"/>
        </w:numPr>
      </w:pPr>
      <w:r w:rsidRPr="00F41D2E">
        <w:t>Reinstating, or developing different options; or,</w:t>
      </w:r>
    </w:p>
    <w:p w:rsidR="00892833" w:rsidRDefault="00892833" w:rsidP="007A57C8">
      <w:pPr>
        <w:pStyle w:val="Standardbullet"/>
        <w:numPr>
          <w:ilvl w:val="1"/>
          <w:numId w:val="1"/>
        </w:numPr>
      </w:pPr>
      <w:r w:rsidRPr="00F41D2E">
        <w:t>Abandoning the project because it is too risky.</w:t>
      </w:r>
    </w:p>
    <w:p w:rsidR="00892833" w:rsidRPr="007A5ADA" w:rsidRDefault="0035597C" w:rsidP="00EB639F">
      <w:pPr>
        <w:pStyle w:val="Standardparagraph"/>
      </w:pPr>
      <w:r>
        <w:t>Appendix</w:t>
      </w:r>
      <w:r w:rsidR="009A7A87">
        <w:t xml:space="preserve"> B </w:t>
      </w:r>
      <w:r w:rsidR="00892833" w:rsidRPr="00F41D2E">
        <w:t>provides more information on mitigating action</w:t>
      </w:r>
      <w:r w:rsidR="009A7A87">
        <w:t>s that</w:t>
      </w:r>
      <w:r w:rsidR="00892833" w:rsidRPr="00F41D2E">
        <w:t xml:space="preserve"> might </w:t>
      </w:r>
      <w:r w:rsidR="009A7A87">
        <w:t xml:space="preserve">typically </w:t>
      </w:r>
      <w:r w:rsidR="00892833" w:rsidRPr="00F41D2E">
        <w:t>be taken both before and during</w:t>
      </w:r>
      <w:r w:rsidR="00892833">
        <w:t xml:space="preserve"> </w:t>
      </w:r>
      <w:r w:rsidR="00641CF9">
        <w:t xml:space="preserve">project </w:t>
      </w:r>
      <w:r w:rsidR="00892833" w:rsidRPr="00F41D2E">
        <w:t>implementation.</w:t>
      </w:r>
    </w:p>
    <w:p w:rsidR="007A5ADA" w:rsidRPr="007A57C8" w:rsidRDefault="007A5ADA" w:rsidP="009A7A87">
      <w:pPr>
        <w:pStyle w:val="Heading3"/>
        <w:rPr>
          <w:rFonts w:eastAsia="Times New Roman"/>
          <w:lang w:eastAsia="en-GB"/>
        </w:rPr>
      </w:pPr>
      <w:r w:rsidRPr="007A57C8">
        <w:rPr>
          <w:rFonts w:eastAsia="Times New Roman"/>
          <w:lang w:eastAsia="en-GB"/>
        </w:rPr>
        <w:lastRenderedPageBreak/>
        <w:t>Transfer</w:t>
      </w:r>
    </w:p>
    <w:p w:rsidR="009A7A87" w:rsidRDefault="007A5ADA" w:rsidP="009A7A87">
      <w:pPr>
        <w:pStyle w:val="Standardparagraph"/>
        <w:rPr>
          <w:lang w:eastAsia="en-GB"/>
        </w:rPr>
      </w:pPr>
      <w:r w:rsidRPr="007A5ADA">
        <w:rPr>
          <w:lang w:eastAsia="en-GB"/>
        </w:rPr>
        <w:t>Before deciding to transfer a risk to a third party, consider</w:t>
      </w:r>
      <w:r w:rsidR="009A7A87">
        <w:rPr>
          <w:lang w:eastAsia="en-GB"/>
        </w:rPr>
        <w:t xml:space="preserve">ation should be given as to </w:t>
      </w:r>
      <w:r w:rsidRPr="007A5ADA">
        <w:rPr>
          <w:lang w:eastAsia="en-GB"/>
        </w:rPr>
        <w:t>who is best placed to manage the risk. It may be that the risk is bes</w:t>
      </w:r>
      <w:r w:rsidR="009A7A87">
        <w:rPr>
          <w:lang w:eastAsia="en-GB"/>
        </w:rPr>
        <w:t>t managed internally within the</w:t>
      </w:r>
      <w:r w:rsidRPr="007A5ADA">
        <w:rPr>
          <w:lang w:eastAsia="en-GB"/>
        </w:rPr>
        <w:t xml:space="preserve"> organisation.</w:t>
      </w:r>
      <w:r w:rsidR="009A7A87">
        <w:rPr>
          <w:lang w:eastAsia="en-GB"/>
        </w:rPr>
        <w:t xml:space="preserve"> </w:t>
      </w:r>
      <w:r w:rsidRPr="007A5ADA">
        <w:rPr>
          <w:lang w:eastAsia="en-GB"/>
        </w:rPr>
        <w:t xml:space="preserve"> It is also possible that transferring risk to a supplier will resu</w:t>
      </w:r>
      <w:r w:rsidR="009A7A87">
        <w:rPr>
          <w:lang w:eastAsia="en-GB"/>
        </w:rPr>
        <w:t>lt in a significant cost to the</w:t>
      </w:r>
      <w:r w:rsidRPr="007A5ADA">
        <w:rPr>
          <w:lang w:eastAsia="en-GB"/>
        </w:rPr>
        <w:t xml:space="preserve"> organisation and this should be considered before taking this course of action. Also remember that whilst </w:t>
      </w:r>
      <w:r w:rsidR="009A7A87">
        <w:rPr>
          <w:lang w:eastAsia="en-GB"/>
        </w:rPr>
        <w:t>transferring responsibility for a risk is possible, accountability for that risk is not.</w:t>
      </w:r>
    </w:p>
    <w:p w:rsidR="007A5ADA" w:rsidRPr="007A57C8" w:rsidRDefault="007A5ADA" w:rsidP="009A7A87">
      <w:pPr>
        <w:pStyle w:val="Heading3"/>
        <w:rPr>
          <w:rFonts w:eastAsia="Times New Roman"/>
          <w:lang w:eastAsia="en-GB"/>
        </w:rPr>
      </w:pPr>
      <w:r w:rsidRPr="007A57C8">
        <w:rPr>
          <w:rFonts w:eastAsia="Times New Roman"/>
          <w:lang w:eastAsia="en-GB"/>
        </w:rPr>
        <w:t>Review &amp; Rethink Strategy</w:t>
      </w:r>
    </w:p>
    <w:p w:rsidR="007A5ADA" w:rsidRPr="007A5ADA" w:rsidRDefault="007A5ADA" w:rsidP="009A7A87">
      <w:pPr>
        <w:pStyle w:val="Standardparagraph"/>
        <w:rPr>
          <w:lang w:eastAsia="en-GB"/>
        </w:rPr>
      </w:pPr>
      <w:r w:rsidRPr="007A5ADA">
        <w:rPr>
          <w:lang w:eastAsia="en-GB"/>
        </w:rPr>
        <w:t xml:space="preserve">If the assessed level of a risk is </w:t>
      </w:r>
      <w:r w:rsidR="009A7A87">
        <w:rPr>
          <w:lang w:eastAsia="en-GB"/>
        </w:rPr>
        <w:t>Very H</w:t>
      </w:r>
      <w:r w:rsidRPr="007A5ADA">
        <w:rPr>
          <w:lang w:eastAsia="en-GB"/>
        </w:rPr>
        <w:t xml:space="preserve">igh, </w:t>
      </w:r>
      <w:r w:rsidR="00890ED6">
        <w:rPr>
          <w:lang w:eastAsia="en-GB"/>
        </w:rPr>
        <w:t>consideration will</w:t>
      </w:r>
      <w:r w:rsidR="009A7A87">
        <w:rPr>
          <w:lang w:eastAsia="en-GB"/>
        </w:rPr>
        <w:t xml:space="preserve"> need to be given to the overall approach</w:t>
      </w:r>
      <w:r w:rsidR="00890ED6">
        <w:rPr>
          <w:lang w:eastAsia="en-GB"/>
        </w:rPr>
        <w:t xml:space="preserve"> to the project</w:t>
      </w:r>
      <w:r w:rsidRPr="007A5ADA">
        <w:rPr>
          <w:lang w:eastAsia="en-GB"/>
        </w:rPr>
        <w:t xml:space="preserve">. </w:t>
      </w:r>
      <w:r w:rsidR="009A7A87">
        <w:rPr>
          <w:lang w:eastAsia="en-GB"/>
        </w:rPr>
        <w:t xml:space="preserve"> </w:t>
      </w:r>
      <w:r w:rsidRPr="007A5ADA">
        <w:rPr>
          <w:lang w:eastAsia="en-GB"/>
        </w:rPr>
        <w:t xml:space="preserve">In some circumstances it may be necessary to stop the current course of action and start over. </w:t>
      </w:r>
      <w:r w:rsidR="009A7A87">
        <w:rPr>
          <w:lang w:eastAsia="en-GB"/>
        </w:rPr>
        <w:t xml:space="preserve"> </w:t>
      </w:r>
      <w:r w:rsidRPr="007A5ADA">
        <w:rPr>
          <w:lang w:eastAsia="en-GB"/>
        </w:rPr>
        <w:t xml:space="preserve">It should be noted that the option to terminate activities should be exercised as a last resort, where other courses of action have not mitigated the risk to an acceptable level. </w:t>
      </w:r>
      <w:r w:rsidR="009A7A87">
        <w:rPr>
          <w:lang w:eastAsia="en-GB"/>
        </w:rPr>
        <w:t xml:space="preserve">It should, however, be realised that </w:t>
      </w:r>
      <w:r w:rsidRPr="007A5ADA">
        <w:rPr>
          <w:lang w:eastAsia="en-GB"/>
        </w:rPr>
        <w:t>the reason a number of activities are conducted in the public sector is because the associated risks are so great that there is no other way in which the output or outcome, which is required for the public benefit, can be achieved.</w:t>
      </w:r>
    </w:p>
    <w:p w:rsidR="007A5ADA" w:rsidRPr="007A5ADA" w:rsidRDefault="007A5ADA" w:rsidP="009A7A87">
      <w:pPr>
        <w:pStyle w:val="Standardparagraph"/>
        <w:rPr>
          <w:lang w:eastAsia="en-GB"/>
        </w:rPr>
      </w:pPr>
      <w:r w:rsidRPr="007A5ADA">
        <w:rPr>
          <w:lang w:eastAsia="en-GB"/>
        </w:rPr>
        <w:t>When controlling risks at the contract management stage, cooperation and dialogue between a contract manager and supplier should be actively encouraged. If suppliers feel able to share information about potential problems at the earliest opportunity then small issues can be dealt with and not escalate.</w:t>
      </w:r>
    </w:p>
    <w:p w:rsidR="007A5ADA" w:rsidRPr="007A5ADA" w:rsidRDefault="007A5ADA" w:rsidP="009724D8">
      <w:pPr>
        <w:pStyle w:val="Heading2"/>
        <w:rPr>
          <w:rFonts w:eastAsia="Times New Roman"/>
          <w:lang w:eastAsia="en-GB"/>
        </w:rPr>
      </w:pPr>
      <w:bookmarkStart w:id="13" w:name="_Toc408559410"/>
      <w:bookmarkStart w:id="14" w:name="_Toc415492007"/>
      <w:r w:rsidRPr="007A5ADA">
        <w:rPr>
          <w:rFonts w:eastAsia="Times New Roman"/>
          <w:lang w:eastAsia="en-GB"/>
        </w:rPr>
        <w:t>Risk Monitoring</w:t>
      </w:r>
      <w:bookmarkEnd w:id="13"/>
      <w:bookmarkEnd w:id="14"/>
    </w:p>
    <w:p w:rsidR="00144B8D" w:rsidRDefault="007A5ADA" w:rsidP="00950704">
      <w:pPr>
        <w:pStyle w:val="Standardparagraph"/>
        <w:rPr>
          <w:lang w:eastAsia="en-GB"/>
        </w:rPr>
      </w:pPr>
      <w:r w:rsidRPr="007A5ADA">
        <w:rPr>
          <w:lang w:eastAsia="en-GB"/>
        </w:rPr>
        <w:t xml:space="preserve">One of the most common approaches to monitoring risks is the use of a risk register. </w:t>
      </w:r>
      <w:r w:rsidR="00144B8D">
        <w:rPr>
          <w:lang w:eastAsia="en-GB"/>
        </w:rPr>
        <w:t>This</w:t>
      </w:r>
      <w:r w:rsidR="008558F6">
        <w:rPr>
          <w:lang w:eastAsia="en-GB"/>
        </w:rPr>
        <w:t xml:space="preserve"> will be developed first</w:t>
      </w:r>
      <w:r w:rsidR="009A7A87">
        <w:rPr>
          <w:lang w:eastAsia="en-GB"/>
        </w:rPr>
        <w:t xml:space="preserve"> </w:t>
      </w:r>
      <w:r w:rsidRPr="007A5ADA">
        <w:rPr>
          <w:lang w:eastAsia="en-GB"/>
        </w:rPr>
        <w:t xml:space="preserve">at </w:t>
      </w:r>
      <w:r w:rsidR="00144B8D">
        <w:rPr>
          <w:lang w:eastAsia="en-GB"/>
        </w:rPr>
        <w:t xml:space="preserve">Initial Agreement stage </w:t>
      </w:r>
      <w:r w:rsidRPr="007A5ADA">
        <w:rPr>
          <w:lang w:eastAsia="en-GB"/>
        </w:rPr>
        <w:t xml:space="preserve">and </w:t>
      </w:r>
      <w:r w:rsidR="00144B8D">
        <w:rPr>
          <w:lang w:eastAsia="en-GB"/>
        </w:rPr>
        <w:t xml:space="preserve">then </w:t>
      </w:r>
      <w:r w:rsidR="00950704">
        <w:rPr>
          <w:lang w:eastAsia="en-GB"/>
        </w:rPr>
        <w:t xml:space="preserve">be </w:t>
      </w:r>
      <w:r w:rsidRPr="007A5ADA">
        <w:rPr>
          <w:lang w:eastAsia="en-GB"/>
        </w:rPr>
        <w:t xml:space="preserve">reviewed at each </w:t>
      </w:r>
      <w:r w:rsidR="00950704">
        <w:rPr>
          <w:lang w:eastAsia="en-GB"/>
        </w:rPr>
        <w:t xml:space="preserve">further </w:t>
      </w:r>
      <w:r w:rsidRPr="007A5ADA">
        <w:rPr>
          <w:lang w:eastAsia="en-GB"/>
        </w:rPr>
        <w:t xml:space="preserve">stage of the </w:t>
      </w:r>
      <w:r w:rsidR="00144B8D">
        <w:rPr>
          <w:lang w:eastAsia="en-GB"/>
        </w:rPr>
        <w:t xml:space="preserve">business case, </w:t>
      </w:r>
      <w:r w:rsidRPr="007A5ADA">
        <w:rPr>
          <w:lang w:eastAsia="en-GB"/>
        </w:rPr>
        <w:t>procurement and contract management process</w:t>
      </w:r>
      <w:r w:rsidR="00144B8D">
        <w:rPr>
          <w:lang w:eastAsia="en-GB"/>
        </w:rPr>
        <w:t>es.</w:t>
      </w:r>
    </w:p>
    <w:p w:rsidR="008558F6" w:rsidRDefault="007A5ADA" w:rsidP="00950704">
      <w:pPr>
        <w:pStyle w:val="Standardparagraph"/>
        <w:rPr>
          <w:lang w:eastAsia="en-GB"/>
        </w:rPr>
      </w:pPr>
      <w:r w:rsidRPr="007A5ADA">
        <w:rPr>
          <w:lang w:eastAsia="en-GB"/>
        </w:rPr>
        <w:t xml:space="preserve">Risk monitoring </w:t>
      </w:r>
      <w:r w:rsidR="008558F6">
        <w:rPr>
          <w:lang w:eastAsia="en-GB"/>
        </w:rPr>
        <w:t xml:space="preserve">by the project team </w:t>
      </w:r>
      <w:r w:rsidRPr="007A5ADA">
        <w:rPr>
          <w:lang w:eastAsia="en-GB"/>
        </w:rPr>
        <w:t xml:space="preserve">should </w:t>
      </w:r>
      <w:r w:rsidR="001C1B7E">
        <w:rPr>
          <w:lang w:eastAsia="en-GB"/>
        </w:rPr>
        <w:t xml:space="preserve">thus </w:t>
      </w:r>
      <w:r w:rsidRPr="007A5ADA">
        <w:rPr>
          <w:lang w:eastAsia="en-GB"/>
        </w:rPr>
        <w:t xml:space="preserve">be a </w:t>
      </w:r>
      <w:r w:rsidRPr="007A5ADA">
        <w:rPr>
          <w:b/>
          <w:bCs/>
          <w:lang w:eastAsia="en-GB"/>
        </w:rPr>
        <w:t>continuous</w:t>
      </w:r>
      <w:r w:rsidR="001C1B7E">
        <w:rPr>
          <w:lang w:eastAsia="en-GB"/>
        </w:rPr>
        <w:t xml:space="preserve"> process throughout the project planning, procurement and implementation stages.</w:t>
      </w:r>
      <w:r w:rsidR="008558F6">
        <w:rPr>
          <w:lang w:eastAsia="en-GB"/>
        </w:rPr>
        <w:t xml:space="preserve">  </w:t>
      </w:r>
    </w:p>
    <w:p w:rsidR="008558F6" w:rsidRDefault="008558F6" w:rsidP="00950704">
      <w:pPr>
        <w:pStyle w:val="Standardparagraph"/>
        <w:rPr>
          <w:lang w:eastAsia="en-GB"/>
        </w:rPr>
      </w:pPr>
      <w:r>
        <w:rPr>
          <w:lang w:eastAsia="en-GB"/>
        </w:rPr>
        <w:t xml:space="preserve">The risk management and reporting processes </w:t>
      </w:r>
      <w:r w:rsidR="00890ED6">
        <w:rPr>
          <w:lang w:eastAsia="en-GB"/>
        </w:rPr>
        <w:t>shall</w:t>
      </w:r>
      <w:r>
        <w:rPr>
          <w:lang w:eastAsia="en-GB"/>
        </w:rPr>
        <w:t xml:space="preserve"> be </w:t>
      </w:r>
      <w:r w:rsidR="001A75D2">
        <w:rPr>
          <w:lang w:eastAsia="en-GB"/>
        </w:rPr>
        <w:t xml:space="preserve">developed by the project team and </w:t>
      </w:r>
      <w:r>
        <w:rPr>
          <w:lang w:eastAsia="en-GB"/>
        </w:rPr>
        <w:t xml:space="preserve">overseen by </w:t>
      </w:r>
      <w:r w:rsidR="003D65EC">
        <w:rPr>
          <w:lang w:eastAsia="en-GB"/>
        </w:rPr>
        <w:t xml:space="preserve">the Senior Responsible Officer (SRO) </w:t>
      </w:r>
      <w:r w:rsidR="001A75D2">
        <w:rPr>
          <w:lang w:eastAsia="en-GB"/>
        </w:rPr>
        <w:t xml:space="preserve">and/or Project Board </w:t>
      </w:r>
      <w:r>
        <w:rPr>
          <w:lang w:eastAsia="en-GB"/>
        </w:rPr>
        <w:lastRenderedPageBreak/>
        <w:t xml:space="preserve">who </w:t>
      </w:r>
      <w:r w:rsidR="001A75D2">
        <w:rPr>
          <w:lang w:eastAsia="en-GB"/>
        </w:rPr>
        <w:t>will be</w:t>
      </w:r>
      <w:r w:rsidR="00890ED6">
        <w:rPr>
          <w:lang w:eastAsia="en-GB"/>
        </w:rPr>
        <w:t xml:space="preserve"> able </w:t>
      </w:r>
      <w:r>
        <w:rPr>
          <w:lang w:eastAsia="en-GB"/>
        </w:rPr>
        <w:t>to scrutinise and challenge some of the following:</w:t>
      </w:r>
    </w:p>
    <w:p w:rsidR="008558F6" w:rsidRDefault="00890ED6" w:rsidP="008558F6">
      <w:pPr>
        <w:pStyle w:val="Standardbullet"/>
      </w:pPr>
      <w:r>
        <w:t>That an appropriate</w:t>
      </w:r>
      <w:r w:rsidR="008558F6">
        <w:t xml:space="preserve"> risk management process has been suitably adopted.</w:t>
      </w:r>
    </w:p>
    <w:p w:rsidR="001C1B7E" w:rsidRDefault="008558F6" w:rsidP="008558F6">
      <w:pPr>
        <w:pStyle w:val="Standardbullet"/>
      </w:pPr>
      <w:r>
        <w:t xml:space="preserve">That assumptions behind </w:t>
      </w:r>
      <w:r w:rsidR="00890ED6">
        <w:t xml:space="preserve">High and </w:t>
      </w:r>
      <w:r>
        <w:t>Very High risks are appropriate.</w:t>
      </w:r>
    </w:p>
    <w:p w:rsidR="008558F6" w:rsidRDefault="00890ED6" w:rsidP="008558F6">
      <w:pPr>
        <w:pStyle w:val="Standardbullet"/>
      </w:pPr>
      <w:r>
        <w:t>That Major and</w:t>
      </w:r>
      <w:r w:rsidR="008558F6">
        <w:t xml:space="preserve"> Extreme </w:t>
      </w:r>
      <w:r>
        <w:t>consequence</w:t>
      </w:r>
      <w:r w:rsidR="008558F6">
        <w:t xml:space="preserve"> risks are suitably assessed for their likelihood of occurrence.</w:t>
      </w:r>
    </w:p>
    <w:p w:rsidR="008558F6" w:rsidRDefault="008558F6" w:rsidP="008558F6">
      <w:pPr>
        <w:pStyle w:val="Standardbullet"/>
      </w:pPr>
      <w:r>
        <w:t xml:space="preserve">That appropriate control measures have been put in place to </w:t>
      </w:r>
      <w:proofErr w:type="gramStart"/>
      <w:r>
        <w:t>mitigate</w:t>
      </w:r>
      <w:proofErr w:type="gramEnd"/>
      <w:r>
        <w:t xml:space="preserve"> against these risks.</w:t>
      </w:r>
    </w:p>
    <w:p w:rsidR="00890ED6" w:rsidRDefault="00890ED6" w:rsidP="008558F6">
      <w:pPr>
        <w:pStyle w:val="Standardbullet"/>
      </w:pPr>
      <w:r>
        <w:t>That the presumed affect of the mitigation measures isn’t overly optimistic.</w:t>
      </w:r>
    </w:p>
    <w:p w:rsidR="008558F6" w:rsidRDefault="008558F6" w:rsidP="008558F6">
      <w:pPr>
        <w:pStyle w:val="Standardbullet"/>
      </w:pPr>
      <w:r>
        <w:t>That those mitigation measures have been effective.</w:t>
      </w:r>
    </w:p>
    <w:p w:rsidR="00890ED6" w:rsidRDefault="00890ED6" w:rsidP="008558F6">
      <w:pPr>
        <w:pStyle w:val="Standardbullet"/>
      </w:pPr>
      <w:r>
        <w:t>That the project isn’t inherently too risky to proceed,</w:t>
      </w:r>
    </w:p>
    <w:p w:rsidR="00890ED6" w:rsidRDefault="00890ED6" w:rsidP="008558F6">
      <w:pPr>
        <w:pStyle w:val="Standardbullet"/>
      </w:pPr>
      <w:r>
        <w:t>That the subsequent risk quantification process is robustly developed.</w:t>
      </w:r>
    </w:p>
    <w:p w:rsidR="00746557" w:rsidRDefault="00746557" w:rsidP="00746557">
      <w:pPr>
        <w:pStyle w:val="NoSpacing"/>
        <w:rPr>
          <w:lang w:eastAsia="en-GB"/>
        </w:rPr>
      </w:pPr>
    </w:p>
    <w:p w:rsidR="00746557" w:rsidRDefault="00746557" w:rsidP="00746557">
      <w:pPr>
        <w:pStyle w:val="Standardparagraph"/>
        <w:rPr>
          <w:lang w:eastAsia="en-GB"/>
        </w:rPr>
      </w:pPr>
      <w:r w:rsidRPr="007A5ADA">
        <w:rPr>
          <w:lang w:eastAsia="en-GB"/>
        </w:rPr>
        <w:t>In order to maintain a historical record of risks identified and mitigating actions taken, a new version of the risk register should be completed at each review stage</w:t>
      </w:r>
      <w:r>
        <w:rPr>
          <w:lang w:eastAsia="en-GB"/>
        </w:rPr>
        <w:t>.</w:t>
      </w:r>
    </w:p>
    <w:p w:rsidR="00D677E9" w:rsidRDefault="00D677E9">
      <w:pPr>
        <w:rPr>
          <w:rFonts w:eastAsia="Times New Roman"/>
          <w:lang w:eastAsia="en-GB"/>
        </w:rPr>
      </w:pPr>
      <w:bookmarkStart w:id="15" w:name="_Toc408559415"/>
    </w:p>
    <w:p w:rsidR="00D677E9" w:rsidRDefault="00D677E9">
      <w:pPr>
        <w:rPr>
          <w:rFonts w:ascii="Arial" w:eastAsia="Times New Roman" w:hAnsi="Arial" w:cstheme="majorBidi"/>
          <w:b/>
          <w:bCs/>
          <w:color w:val="000000" w:themeColor="text1"/>
          <w:sz w:val="28"/>
          <w:szCs w:val="28"/>
          <w:lang w:eastAsia="en-GB"/>
        </w:rPr>
      </w:pPr>
    </w:p>
    <w:p w:rsidR="005C236B" w:rsidRDefault="005C236B">
      <w:pPr>
        <w:rPr>
          <w:rFonts w:ascii="Arial" w:eastAsia="Times New Roman" w:hAnsi="Arial" w:cstheme="majorBidi"/>
          <w:b/>
          <w:bCs/>
          <w:color w:val="000000" w:themeColor="text1"/>
          <w:sz w:val="28"/>
          <w:szCs w:val="28"/>
          <w:lang w:eastAsia="en-GB"/>
        </w:rPr>
      </w:pPr>
      <w:r>
        <w:rPr>
          <w:rFonts w:eastAsia="Times New Roman"/>
          <w:lang w:eastAsia="en-GB"/>
        </w:rPr>
        <w:br w:type="page"/>
      </w:r>
    </w:p>
    <w:p w:rsidR="001C1B7E" w:rsidRDefault="00DF3904" w:rsidP="00EB639F">
      <w:pPr>
        <w:pStyle w:val="Heading1"/>
        <w:rPr>
          <w:rFonts w:eastAsia="Times New Roman"/>
          <w:lang w:eastAsia="en-GB"/>
        </w:rPr>
      </w:pPr>
      <w:bookmarkStart w:id="16" w:name="_Toc415492008"/>
      <w:r>
        <w:rPr>
          <w:rFonts w:eastAsia="Times New Roman"/>
          <w:lang w:eastAsia="en-GB"/>
        </w:rPr>
        <w:lastRenderedPageBreak/>
        <w:t>Risk Quantification</w:t>
      </w:r>
      <w:bookmarkEnd w:id="15"/>
      <w:bookmarkEnd w:id="16"/>
    </w:p>
    <w:p w:rsidR="00596E59" w:rsidRDefault="00596E59" w:rsidP="00596E59">
      <w:pPr>
        <w:pStyle w:val="Heading2"/>
        <w:rPr>
          <w:lang w:eastAsia="en-GB"/>
        </w:rPr>
      </w:pPr>
      <w:bookmarkStart w:id="17" w:name="_Toc415492009"/>
      <w:r>
        <w:rPr>
          <w:lang w:eastAsia="en-GB"/>
        </w:rPr>
        <w:t>Introduction</w:t>
      </w:r>
      <w:bookmarkEnd w:id="17"/>
    </w:p>
    <w:p w:rsidR="00AA5E28" w:rsidRDefault="00AA5E28" w:rsidP="00AA5E28">
      <w:pPr>
        <w:pStyle w:val="Standardparagraph"/>
        <w:rPr>
          <w:lang w:eastAsia="en-GB"/>
        </w:rPr>
      </w:pPr>
      <w:r>
        <w:rPr>
          <w:lang w:eastAsia="en-GB"/>
        </w:rPr>
        <w:t>Early project cost estimate</w:t>
      </w:r>
      <w:r w:rsidR="00FF0A53">
        <w:rPr>
          <w:lang w:eastAsia="en-GB"/>
        </w:rPr>
        <w:t>s are inherently uncertain which</w:t>
      </w:r>
      <w:r>
        <w:rPr>
          <w:lang w:eastAsia="en-GB"/>
        </w:rPr>
        <w:t xml:space="preserve"> can result in them being misrepresented or misunderstood at the various reporting stages, therefore, a framework of appropriate risk quantification is required that better supports the appraisal of these project costs</w:t>
      </w:r>
      <w:r w:rsidR="00FF0A53">
        <w:rPr>
          <w:lang w:eastAsia="en-GB"/>
        </w:rPr>
        <w:t>.</w:t>
      </w:r>
    </w:p>
    <w:p w:rsidR="00AA5E28" w:rsidRDefault="00AA5E28" w:rsidP="00AA5E28">
      <w:pPr>
        <w:pStyle w:val="Standardparagraph"/>
        <w:rPr>
          <w:lang w:eastAsia="en-GB"/>
        </w:rPr>
      </w:pPr>
      <w:r>
        <w:rPr>
          <w:lang w:eastAsia="en-GB"/>
        </w:rPr>
        <w:t xml:space="preserve">As the risk register is formed </w:t>
      </w:r>
      <w:r w:rsidR="00FF0A53">
        <w:rPr>
          <w:lang w:eastAsia="en-GB"/>
        </w:rPr>
        <w:t xml:space="preserve">at Initial Agreement stage </w:t>
      </w:r>
      <w:r>
        <w:rPr>
          <w:lang w:eastAsia="en-GB"/>
        </w:rPr>
        <w:t>there is an expectation that each risk is determined</w:t>
      </w:r>
      <w:r w:rsidR="00596E59">
        <w:rPr>
          <w:lang w:eastAsia="en-GB"/>
        </w:rPr>
        <w:t xml:space="preserve"> to either have a financial </w:t>
      </w:r>
      <w:r w:rsidR="0065488A">
        <w:rPr>
          <w:lang w:eastAsia="en-GB"/>
        </w:rPr>
        <w:t>and/</w:t>
      </w:r>
      <w:r w:rsidR="00596E59">
        <w:rPr>
          <w:lang w:eastAsia="en-GB"/>
        </w:rPr>
        <w:t>or</w:t>
      </w:r>
      <w:r>
        <w:rPr>
          <w:lang w:eastAsia="en-GB"/>
        </w:rPr>
        <w:t xml:space="preserve"> non-financial </w:t>
      </w:r>
      <w:r w:rsidR="00596E59">
        <w:rPr>
          <w:lang w:eastAsia="en-GB"/>
        </w:rPr>
        <w:t>impact on the project, or is unquantifiable at that particular stage of the project.</w:t>
      </w:r>
    </w:p>
    <w:p w:rsidR="00596E59" w:rsidRDefault="00596E59" w:rsidP="00AA5E28">
      <w:pPr>
        <w:pStyle w:val="Standardparagraph"/>
        <w:rPr>
          <w:lang w:eastAsia="en-GB"/>
        </w:rPr>
      </w:pPr>
      <w:r>
        <w:rPr>
          <w:lang w:eastAsia="en-GB"/>
        </w:rPr>
        <w:t>Financially quantifiable risks shall be incorporated into a risk contingency for a project, whereas unquantifiable risks shall be covered by an allowanc</w:t>
      </w:r>
      <w:r w:rsidR="00E515AA">
        <w:rPr>
          <w:lang w:eastAsia="en-GB"/>
        </w:rPr>
        <w:t xml:space="preserve">e of ‘optimism </w:t>
      </w:r>
      <w:proofErr w:type="gramStart"/>
      <w:r w:rsidR="00E515AA">
        <w:rPr>
          <w:lang w:eastAsia="en-GB"/>
        </w:rPr>
        <w:t>bias’</w:t>
      </w:r>
      <w:proofErr w:type="gramEnd"/>
      <w:r w:rsidR="00E515AA">
        <w:rPr>
          <w:lang w:eastAsia="en-GB"/>
        </w:rPr>
        <w:t xml:space="preserve"> – a financial adjustment to project costs to redress the tendency of estimators to overstate benefits and understate project timings and costs</w:t>
      </w:r>
      <w:r>
        <w:rPr>
          <w:lang w:eastAsia="en-GB"/>
        </w:rPr>
        <w:t>.</w:t>
      </w:r>
    </w:p>
    <w:p w:rsidR="00596E59" w:rsidRDefault="00596E59" w:rsidP="00AA5E28">
      <w:pPr>
        <w:pStyle w:val="Standardparagraph"/>
        <w:rPr>
          <w:lang w:eastAsia="en-GB"/>
        </w:rPr>
      </w:pPr>
      <w:r>
        <w:rPr>
          <w:lang w:eastAsia="en-GB"/>
        </w:rPr>
        <w:t>As a project develops from Initial Agreement through to Full Business Case and procurement, it is expected that the level of unquantifiable optimism bias is minimised through a combination of increased quantification of known risks, elimination of risks through mitigation measures, and the transfer of contingencies into the project base cost</w:t>
      </w:r>
      <w:r w:rsidR="0065488A">
        <w:rPr>
          <w:lang w:eastAsia="en-GB"/>
        </w:rPr>
        <w:t>.</w:t>
      </w:r>
    </w:p>
    <w:p w:rsidR="00CE0370" w:rsidRDefault="00717112" w:rsidP="009724D8">
      <w:pPr>
        <w:pStyle w:val="Heading2"/>
        <w:rPr>
          <w:rFonts w:eastAsia="Times New Roman"/>
          <w:lang w:eastAsia="en-GB"/>
        </w:rPr>
      </w:pPr>
      <w:bookmarkStart w:id="18" w:name="_Toc415492010"/>
      <w:r>
        <w:rPr>
          <w:rFonts w:eastAsia="Times New Roman"/>
          <w:lang w:eastAsia="en-GB"/>
        </w:rPr>
        <w:t>Use of Optimism Bias</w:t>
      </w:r>
      <w:bookmarkEnd w:id="18"/>
    </w:p>
    <w:p w:rsidR="00863EF8" w:rsidRDefault="00863EF8" w:rsidP="00717112">
      <w:pPr>
        <w:pStyle w:val="Standardparagraph"/>
        <w:rPr>
          <w:lang w:eastAsia="en-GB"/>
        </w:rPr>
      </w:pPr>
      <w:r>
        <w:rPr>
          <w:lang w:eastAsia="en-GB"/>
        </w:rPr>
        <w:t>Optimism bias shall</w:t>
      </w:r>
      <w:r w:rsidR="00717112">
        <w:rPr>
          <w:lang w:eastAsia="en-GB"/>
        </w:rPr>
        <w:t xml:space="preserve"> be used </w:t>
      </w:r>
      <w:r>
        <w:rPr>
          <w:lang w:eastAsia="en-GB"/>
        </w:rPr>
        <w:t xml:space="preserve">at Initial Agreement stage </w:t>
      </w:r>
      <w:r w:rsidR="00717112">
        <w:rPr>
          <w:lang w:eastAsia="en-GB"/>
        </w:rPr>
        <w:t>where only minimal risk qu</w:t>
      </w:r>
      <w:r>
        <w:rPr>
          <w:lang w:eastAsia="en-GB"/>
        </w:rPr>
        <w:t xml:space="preserve">antification for a project can be undertaken; however, </w:t>
      </w:r>
      <w:r w:rsidR="00641CF9">
        <w:rPr>
          <w:lang w:eastAsia="en-GB"/>
        </w:rPr>
        <w:t xml:space="preserve">if </w:t>
      </w:r>
      <w:r>
        <w:rPr>
          <w:lang w:eastAsia="en-GB"/>
        </w:rPr>
        <w:t xml:space="preserve">historical precedents of similar types of projects </w:t>
      </w:r>
      <w:r w:rsidR="00641CF9">
        <w:rPr>
          <w:lang w:eastAsia="en-GB"/>
        </w:rPr>
        <w:t xml:space="preserve">are available then they </w:t>
      </w:r>
      <w:r>
        <w:rPr>
          <w:lang w:eastAsia="en-GB"/>
        </w:rPr>
        <w:t xml:space="preserve">can be used as an alternative </w:t>
      </w:r>
      <w:r w:rsidR="00B53E95">
        <w:rPr>
          <w:lang w:eastAsia="en-GB"/>
        </w:rPr>
        <w:t xml:space="preserve">source </w:t>
      </w:r>
      <w:r>
        <w:rPr>
          <w:lang w:eastAsia="en-GB"/>
        </w:rPr>
        <w:t>for setting an early cost benchmark for a project.</w:t>
      </w:r>
    </w:p>
    <w:p w:rsidR="00297774" w:rsidRDefault="00297774" w:rsidP="00717112">
      <w:pPr>
        <w:pStyle w:val="Standardparagraph"/>
        <w:rPr>
          <w:lang w:eastAsia="en-GB"/>
        </w:rPr>
      </w:pPr>
      <w:r>
        <w:rPr>
          <w:lang w:eastAsia="en-GB"/>
        </w:rPr>
        <w:t xml:space="preserve">The following five steps should be followed to derive the appropriate </w:t>
      </w:r>
      <w:r w:rsidR="00D677E9">
        <w:rPr>
          <w:lang w:eastAsia="en-GB"/>
        </w:rPr>
        <w:t xml:space="preserve">Optimism Bias </w:t>
      </w:r>
      <w:r>
        <w:rPr>
          <w:lang w:eastAsia="en-GB"/>
        </w:rPr>
        <w:t>adjustment factor to use for a project:</w:t>
      </w:r>
    </w:p>
    <w:p w:rsidR="00297774" w:rsidRDefault="00297774" w:rsidP="00297774">
      <w:pPr>
        <w:pStyle w:val="Standardbullet"/>
      </w:pPr>
      <w:r>
        <w:t>Step 1: Determine the type of project that the business case relates to.</w:t>
      </w:r>
    </w:p>
    <w:p w:rsidR="00297774" w:rsidRDefault="00297774" w:rsidP="00297774">
      <w:pPr>
        <w:pStyle w:val="Standardbullet"/>
      </w:pPr>
      <w:r>
        <w:t xml:space="preserve">Step 2: </w:t>
      </w:r>
      <w:r w:rsidR="00D677E9">
        <w:t>Identify</w:t>
      </w:r>
      <w:r>
        <w:t xml:space="preserve"> the starting upper bound percentage for Optimism Bias.</w:t>
      </w:r>
    </w:p>
    <w:p w:rsidR="00297774" w:rsidRDefault="00297774" w:rsidP="00297774">
      <w:pPr>
        <w:pStyle w:val="Standardbullet"/>
      </w:pPr>
      <w:r>
        <w:t>Step 3: Assess the level of mitigation already carried out.</w:t>
      </w:r>
    </w:p>
    <w:p w:rsidR="00297774" w:rsidRDefault="00297774" w:rsidP="00297774">
      <w:pPr>
        <w:pStyle w:val="Standardbullet"/>
      </w:pPr>
      <w:r>
        <w:lastRenderedPageBreak/>
        <w:t>Step 4: Apply the Optimum Bias adjustment to project costs.</w:t>
      </w:r>
    </w:p>
    <w:p w:rsidR="00297774" w:rsidRDefault="00297774" w:rsidP="00297774">
      <w:pPr>
        <w:pStyle w:val="Standardbullet"/>
      </w:pPr>
      <w:r>
        <w:t>Step 5: Continually review the Optimism Bias adjustment.</w:t>
      </w:r>
    </w:p>
    <w:p w:rsidR="00297774" w:rsidRDefault="00297774" w:rsidP="00297774">
      <w:pPr>
        <w:pStyle w:val="Standardparagraph"/>
      </w:pPr>
      <w:r>
        <w:t>Each of these steps is described in more detail below:</w:t>
      </w:r>
    </w:p>
    <w:p w:rsidR="00297774" w:rsidRDefault="00297774" w:rsidP="00297774">
      <w:pPr>
        <w:pStyle w:val="Heading3"/>
      </w:pPr>
      <w:r>
        <w:t>Step 1: Determine the type of project</w:t>
      </w:r>
    </w:p>
    <w:p w:rsidR="00297774" w:rsidRDefault="00297774" w:rsidP="00297774">
      <w:pPr>
        <w:pStyle w:val="Standardparagraph"/>
      </w:pPr>
      <w:r>
        <w:t>The definitions of generic project types are as follows:</w:t>
      </w:r>
    </w:p>
    <w:p w:rsidR="00297774" w:rsidRDefault="00297774" w:rsidP="00297774">
      <w:pPr>
        <w:pStyle w:val="Standardbullet"/>
      </w:pPr>
      <w:r w:rsidRPr="00297774">
        <w:rPr>
          <w:b/>
        </w:rPr>
        <w:t>Standard building projects</w:t>
      </w:r>
      <w:r w:rsidRPr="00D0670F">
        <w:t xml:space="preserve"> – th</w:t>
      </w:r>
      <w:r>
        <w:t xml:space="preserve">ose </w:t>
      </w:r>
      <w:r w:rsidRPr="00D0670F">
        <w:t xml:space="preserve">which do not require special design considerations </w:t>
      </w:r>
      <w:r>
        <w:t>such as general hospitals, health centres, office accommodation, etc.</w:t>
      </w:r>
    </w:p>
    <w:p w:rsidR="00297774" w:rsidRPr="00D0670F" w:rsidRDefault="00297774" w:rsidP="00297774">
      <w:pPr>
        <w:pStyle w:val="Standardbullet"/>
      </w:pPr>
      <w:r w:rsidRPr="00297774">
        <w:rPr>
          <w:b/>
        </w:rPr>
        <w:t>Non-standard building projects</w:t>
      </w:r>
      <w:r w:rsidRPr="00D0670F">
        <w:t xml:space="preserve"> – th</w:t>
      </w:r>
      <w:r>
        <w:t xml:space="preserve">ose which </w:t>
      </w:r>
      <w:r w:rsidRPr="00D0670F">
        <w:t>requir</w:t>
      </w:r>
      <w:r>
        <w:t>e</w:t>
      </w:r>
      <w:r w:rsidRPr="00D0670F">
        <w:t xml:space="preserve"> special design considerations due to space constraints, complicated site characteristics, specialist innovative buildings or unusual output specifications (i.e. specialist hospitals, high technology facilities</w:t>
      </w:r>
      <w:r>
        <w:t>,</w:t>
      </w:r>
      <w:r w:rsidRPr="00D0670F">
        <w:t xml:space="preserve"> and other unique buildings or refurbishment projects)</w:t>
      </w:r>
    </w:p>
    <w:p w:rsidR="00297774" w:rsidRPr="00D0670F" w:rsidRDefault="00297774" w:rsidP="00297774">
      <w:pPr>
        <w:pStyle w:val="Standardbullet"/>
      </w:pPr>
      <w:r>
        <w:rPr>
          <w:b/>
        </w:rPr>
        <w:t>S</w:t>
      </w:r>
      <w:r w:rsidRPr="00297774">
        <w:rPr>
          <w:b/>
        </w:rPr>
        <w:t>tandard civil engineering projects</w:t>
      </w:r>
      <w:r w:rsidRPr="00D0670F">
        <w:t xml:space="preserve"> – these involve the construction of facilities, in addition to buildings</w:t>
      </w:r>
      <w:r>
        <w:t>,</w:t>
      </w:r>
      <w:r w:rsidRPr="00D0670F">
        <w:t xml:space="preserve"> not requiring special design considerations – for example, most new roads and some utility projects</w:t>
      </w:r>
    </w:p>
    <w:p w:rsidR="00297774" w:rsidRPr="00D0670F" w:rsidRDefault="00B96FDC" w:rsidP="00297774">
      <w:pPr>
        <w:pStyle w:val="Standardbullet"/>
      </w:pPr>
      <w:r w:rsidRPr="00B96FDC">
        <w:rPr>
          <w:b/>
        </w:rPr>
        <w:t>N</w:t>
      </w:r>
      <w:r w:rsidR="00297774" w:rsidRPr="00B96FDC">
        <w:rPr>
          <w:b/>
        </w:rPr>
        <w:t>on-standard civil engineering projects</w:t>
      </w:r>
      <w:r w:rsidR="00297774" w:rsidRPr="00D0670F">
        <w:t xml:space="preserve"> – these involve the construction of facilities, in addition to buildings</w:t>
      </w:r>
      <w:r>
        <w:t>,</w:t>
      </w:r>
      <w:r w:rsidR="00297774" w:rsidRPr="00D0670F">
        <w:t xml:space="preserve"> requiring special design considerations due to space constraints or unusual output specifications – for example, innovative rail, road, utility projects, or upgrade and extension projects</w:t>
      </w:r>
    </w:p>
    <w:p w:rsidR="00297774" w:rsidRPr="00D0670F" w:rsidRDefault="00B96FDC" w:rsidP="00297774">
      <w:pPr>
        <w:pStyle w:val="Standardbullet"/>
      </w:pPr>
      <w:r w:rsidRPr="00B96FDC">
        <w:rPr>
          <w:b/>
        </w:rPr>
        <w:t>E</w:t>
      </w:r>
      <w:r w:rsidR="00297774" w:rsidRPr="00B96FDC">
        <w:rPr>
          <w:b/>
        </w:rPr>
        <w:t>quipment and development projects</w:t>
      </w:r>
      <w:r w:rsidR="00297774" w:rsidRPr="00D0670F">
        <w:t xml:space="preserve"> – these are concerned with the provision of equipment and/or development of software and systems (i.e. manufactured equipment, information and communication technology development projects or leading edge projects)</w:t>
      </w:r>
    </w:p>
    <w:p w:rsidR="00297774" w:rsidRDefault="00B96FDC" w:rsidP="00297774">
      <w:pPr>
        <w:pStyle w:val="Standardbullet"/>
      </w:pPr>
      <w:r w:rsidRPr="00B96FDC">
        <w:rPr>
          <w:b/>
        </w:rPr>
        <w:t>O</w:t>
      </w:r>
      <w:r w:rsidR="00297774" w:rsidRPr="00B96FDC">
        <w:rPr>
          <w:b/>
        </w:rPr>
        <w:t>utsourcing projects</w:t>
      </w:r>
      <w:r w:rsidR="00297774" w:rsidRPr="00D0670F">
        <w:t xml:space="preserve"> – these are concerned with the provision of hard and soft facilities management services – for example, information and communication technology services, facilities management and maintenance projects.</w:t>
      </w:r>
    </w:p>
    <w:p w:rsidR="00B96FDC" w:rsidRPr="00B96FDC" w:rsidRDefault="00B96FDC" w:rsidP="00B96FDC">
      <w:pPr>
        <w:pStyle w:val="Standardparagraph"/>
      </w:pPr>
      <w:r w:rsidRPr="00B96FDC">
        <w:t xml:space="preserve">A project which includes several project types (for example, an element of </w:t>
      </w:r>
      <w:r w:rsidRPr="00B96FDC">
        <w:lastRenderedPageBreak/>
        <w:t xml:space="preserve">standard building, non-standard building, standard civil engineering, outsourcing and equipment/development) should be considered as a ‘programme’ with five ‘projects’ for </w:t>
      </w:r>
      <w:r w:rsidR="00D677E9">
        <w:t xml:space="preserve">Optimism Bias </w:t>
      </w:r>
      <w:r w:rsidRPr="00B96FDC">
        <w:t>assessment purposes.</w:t>
      </w:r>
    </w:p>
    <w:p w:rsidR="00B96FDC" w:rsidRDefault="00D677E9" w:rsidP="00B96FDC">
      <w:pPr>
        <w:pStyle w:val="Heading3"/>
      </w:pPr>
      <w:r>
        <w:t>Step 2: Identify</w:t>
      </w:r>
      <w:r w:rsidR="00B96FDC">
        <w:t xml:space="preserve"> the starting upper bound percentage</w:t>
      </w:r>
    </w:p>
    <w:p w:rsidR="00B96FDC" w:rsidRDefault="00B96FDC" w:rsidP="00B96FDC">
      <w:pPr>
        <w:pStyle w:val="Standardparagraph"/>
      </w:pPr>
      <w:r w:rsidRPr="00D0670F">
        <w:t xml:space="preserve">The table below provides adjustment percentages for these generic project categories that should be used </w:t>
      </w:r>
      <w:r>
        <w:t xml:space="preserve">as the starting point for calculating the level of optimism bias </w:t>
      </w:r>
      <w:r w:rsidRPr="00D0670F">
        <w:t xml:space="preserve">in the absence of more robust evidence. </w:t>
      </w:r>
    </w:p>
    <w:tbl>
      <w:tblPr>
        <w:tblW w:w="952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1E0"/>
      </w:tblPr>
      <w:tblGrid>
        <w:gridCol w:w="3420"/>
        <w:gridCol w:w="1230"/>
        <w:gridCol w:w="1758"/>
        <w:gridCol w:w="1303"/>
        <w:gridCol w:w="1809"/>
      </w:tblGrid>
      <w:tr w:rsidR="00B96FDC" w:rsidRPr="00D0670F" w:rsidTr="00B96FDC">
        <w:tc>
          <w:tcPr>
            <w:tcW w:w="3420" w:type="dxa"/>
            <w:vMerge w:val="restart"/>
            <w:shd w:val="clear" w:color="auto" w:fill="31849B" w:themeFill="accent5" w:themeFillShade="BF"/>
            <w:vAlign w:val="center"/>
          </w:tcPr>
          <w:p w:rsidR="00B96FDC" w:rsidRPr="00B96FDC" w:rsidRDefault="00B96FDC" w:rsidP="00B96FDC">
            <w:pPr>
              <w:pStyle w:val="Standardtableparagraph"/>
              <w:jc w:val="center"/>
              <w:rPr>
                <w:b/>
                <w:color w:val="FFFFFF" w:themeColor="background1"/>
              </w:rPr>
            </w:pPr>
          </w:p>
          <w:p w:rsidR="00B96FDC" w:rsidRPr="00B96FDC" w:rsidRDefault="00B96FDC" w:rsidP="00B96FDC">
            <w:pPr>
              <w:pStyle w:val="Standardtableparagraph"/>
              <w:jc w:val="center"/>
              <w:rPr>
                <w:b/>
                <w:color w:val="FFFFFF" w:themeColor="background1"/>
              </w:rPr>
            </w:pPr>
            <w:r w:rsidRPr="00B96FDC">
              <w:rPr>
                <w:b/>
                <w:color w:val="FFFFFF" w:themeColor="background1"/>
              </w:rPr>
              <w:t>Project Type</w:t>
            </w:r>
          </w:p>
        </w:tc>
        <w:tc>
          <w:tcPr>
            <w:tcW w:w="6100" w:type="dxa"/>
            <w:gridSpan w:val="4"/>
            <w:shd w:val="clear" w:color="auto" w:fill="31849B" w:themeFill="accent5" w:themeFillShade="BF"/>
            <w:vAlign w:val="center"/>
          </w:tcPr>
          <w:p w:rsidR="00B96FDC" w:rsidRPr="00B96FDC" w:rsidRDefault="00B96FDC" w:rsidP="00B96FDC">
            <w:pPr>
              <w:pStyle w:val="Standardtableparagraph"/>
              <w:jc w:val="center"/>
              <w:rPr>
                <w:b/>
                <w:color w:val="FFFFFF" w:themeColor="background1"/>
              </w:rPr>
            </w:pPr>
            <w:r w:rsidRPr="00B96FDC">
              <w:rPr>
                <w:b/>
                <w:color w:val="FFFFFF" w:themeColor="background1"/>
              </w:rPr>
              <w:t>Optimism Bias (%)</w:t>
            </w:r>
          </w:p>
        </w:tc>
      </w:tr>
      <w:tr w:rsidR="00B96FDC" w:rsidRPr="00D0670F" w:rsidTr="00B96FDC">
        <w:tc>
          <w:tcPr>
            <w:tcW w:w="3420" w:type="dxa"/>
            <w:vMerge/>
            <w:shd w:val="clear" w:color="auto" w:fill="31849B" w:themeFill="accent5" w:themeFillShade="BF"/>
          </w:tcPr>
          <w:p w:rsidR="00B96FDC" w:rsidRPr="00B96FDC" w:rsidRDefault="00B96FDC" w:rsidP="00B96FDC">
            <w:pPr>
              <w:pStyle w:val="Standardtableparagraph"/>
              <w:jc w:val="center"/>
              <w:rPr>
                <w:b/>
              </w:rPr>
            </w:pPr>
          </w:p>
        </w:tc>
        <w:tc>
          <w:tcPr>
            <w:tcW w:w="2988" w:type="dxa"/>
            <w:gridSpan w:val="2"/>
            <w:shd w:val="clear" w:color="auto" w:fill="92CDDC" w:themeFill="accent5" w:themeFillTint="99"/>
          </w:tcPr>
          <w:p w:rsidR="00B96FDC" w:rsidRPr="00B96FDC" w:rsidRDefault="00B96FDC" w:rsidP="00B96FDC">
            <w:pPr>
              <w:pStyle w:val="Standardtableparagraph"/>
              <w:jc w:val="center"/>
              <w:rPr>
                <w:b/>
              </w:rPr>
            </w:pPr>
            <w:r w:rsidRPr="00B96FDC">
              <w:rPr>
                <w:b/>
              </w:rPr>
              <w:t>Works Duration</w:t>
            </w:r>
          </w:p>
        </w:tc>
        <w:tc>
          <w:tcPr>
            <w:tcW w:w="3112" w:type="dxa"/>
            <w:gridSpan w:val="2"/>
            <w:shd w:val="clear" w:color="auto" w:fill="92CDDC" w:themeFill="accent5" w:themeFillTint="99"/>
          </w:tcPr>
          <w:p w:rsidR="00B96FDC" w:rsidRPr="00B96FDC" w:rsidRDefault="00B96FDC" w:rsidP="00B96FDC">
            <w:pPr>
              <w:pStyle w:val="Standardtableparagraph"/>
              <w:jc w:val="center"/>
              <w:rPr>
                <w:b/>
              </w:rPr>
            </w:pPr>
            <w:r w:rsidRPr="00B96FDC">
              <w:rPr>
                <w:b/>
              </w:rPr>
              <w:t>Capital Expenditure</w:t>
            </w:r>
          </w:p>
        </w:tc>
      </w:tr>
      <w:tr w:rsidR="00B96FDC" w:rsidRPr="00D0670F" w:rsidTr="00B96FDC">
        <w:tc>
          <w:tcPr>
            <w:tcW w:w="3420" w:type="dxa"/>
            <w:vMerge/>
            <w:shd w:val="clear" w:color="auto" w:fill="31849B" w:themeFill="accent5" w:themeFillShade="BF"/>
          </w:tcPr>
          <w:p w:rsidR="00B96FDC" w:rsidRPr="00B96FDC" w:rsidRDefault="00B96FDC" w:rsidP="00B96FDC">
            <w:pPr>
              <w:pStyle w:val="Standardtableparagraph"/>
              <w:jc w:val="center"/>
              <w:rPr>
                <w:b/>
              </w:rPr>
            </w:pPr>
          </w:p>
        </w:tc>
        <w:tc>
          <w:tcPr>
            <w:tcW w:w="1230" w:type="dxa"/>
            <w:shd w:val="clear" w:color="auto" w:fill="92CDDC" w:themeFill="accent5" w:themeFillTint="99"/>
          </w:tcPr>
          <w:p w:rsidR="00B96FDC" w:rsidRPr="00B96FDC" w:rsidRDefault="00B96FDC" w:rsidP="00B96FDC">
            <w:pPr>
              <w:pStyle w:val="Standardtableparagraph"/>
              <w:jc w:val="center"/>
              <w:rPr>
                <w:b/>
              </w:rPr>
            </w:pPr>
            <w:r w:rsidRPr="00B96FDC">
              <w:rPr>
                <w:b/>
              </w:rPr>
              <w:t>Upper</w:t>
            </w:r>
          </w:p>
        </w:tc>
        <w:tc>
          <w:tcPr>
            <w:tcW w:w="1758" w:type="dxa"/>
            <w:shd w:val="clear" w:color="auto" w:fill="92CDDC" w:themeFill="accent5" w:themeFillTint="99"/>
          </w:tcPr>
          <w:p w:rsidR="00B96FDC" w:rsidRPr="00B96FDC" w:rsidRDefault="00B96FDC" w:rsidP="00B96FDC">
            <w:pPr>
              <w:pStyle w:val="Standardtableparagraph"/>
              <w:jc w:val="center"/>
              <w:rPr>
                <w:b/>
              </w:rPr>
            </w:pPr>
            <w:r w:rsidRPr="00B96FDC">
              <w:rPr>
                <w:b/>
              </w:rPr>
              <w:t>Lower</w:t>
            </w:r>
          </w:p>
        </w:tc>
        <w:tc>
          <w:tcPr>
            <w:tcW w:w="1303" w:type="dxa"/>
            <w:shd w:val="clear" w:color="auto" w:fill="92CDDC" w:themeFill="accent5" w:themeFillTint="99"/>
          </w:tcPr>
          <w:p w:rsidR="00B96FDC" w:rsidRPr="00B96FDC" w:rsidRDefault="00B96FDC" w:rsidP="00B96FDC">
            <w:pPr>
              <w:pStyle w:val="Standardtableparagraph"/>
              <w:jc w:val="center"/>
              <w:rPr>
                <w:b/>
              </w:rPr>
            </w:pPr>
            <w:r w:rsidRPr="00B96FDC">
              <w:rPr>
                <w:b/>
              </w:rPr>
              <w:t>Upper</w:t>
            </w:r>
          </w:p>
        </w:tc>
        <w:tc>
          <w:tcPr>
            <w:tcW w:w="1809" w:type="dxa"/>
            <w:shd w:val="clear" w:color="auto" w:fill="92CDDC" w:themeFill="accent5" w:themeFillTint="99"/>
          </w:tcPr>
          <w:p w:rsidR="00B96FDC" w:rsidRPr="00B96FDC" w:rsidRDefault="00B96FDC" w:rsidP="00B96FDC">
            <w:pPr>
              <w:pStyle w:val="Standardtableparagraph"/>
              <w:jc w:val="center"/>
              <w:rPr>
                <w:b/>
              </w:rPr>
            </w:pPr>
            <w:r w:rsidRPr="00B96FDC">
              <w:rPr>
                <w:b/>
              </w:rPr>
              <w:t>Lower</w:t>
            </w:r>
          </w:p>
        </w:tc>
      </w:tr>
      <w:tr w:rsidR="00B96FDC" w:rsidRPr="00D0670F" w:rsidTr="00B96FDC">
        <w:tc>
          <w:tcPr>
            <w:tcW w:w="3420" w:type="dxa"/>
            <w:shd w:val="clear" w:color="auto" w:fill="auto"/>
          </w:tcPr>
          <w:p w:rsidR="00B96FDC" w:rsidRPr="00C604EF" w:rsidRDefault="00B96FDC" w:rsidP="00B96FDC">
            <w:pPr>
              <w:pStyle w:val="Standardtableparagraph"/>
            </w:pPr>
            <w:r w:rsidRPr="00C604EF">
              <w:t>Standard buildings</w:t>
            </w:r>
          </w:p>
        </w:tc>
        <w:tc>
          <w:tcPr>
            <w:tcW w:w="1230" w:type="dxa"/>
            <w:shd w:val="clear" w:color="auto" w:fill="auto"/>
            <w:vAlign w:val="center"/>
          </w:tcPr>
          <w:p w:rsidR="00B96FDC" w:rsidRPr="00C604EF" w:rsidRDefault="00B96FDC" w:rsidP="00B96FDC">
            <w:pPr>
              <w:pStyle w:val="Standardtableparagraph"/>
              <w:jc w:val="center"/>
            </w:pPr>
            <w:r w:rsidRPr="00C604EF">
              <w:t>4</w:t>
            </w:r>
          </w:p>
        </w:tc>
        <w:tc>
          <w:tcPr>
            <w:tcW w:w="1758" w:type="dxa"/>
            <w:shd w:val="clear" w:color="auto" w:fill="auto"/>
            <w:vAlign w:val="center"/>
          </w:tcPr>
          <w:p w:rsidR="00B96FDC" w:rsidRPr="00C604EF" w:rsidRDefault="00B96FDC" w:rsidP="00B96FDC">
            <w:pPr>
              <w:pStyle w:val="Standardtableparagraph"/>
              <w:jc w:val="center"/>
            </w:pPr>
            <w:r w:rsidRPr="00C604EF">
              <w:t>1</w:t>
            </w:r>
          </w:p>
        </w:tc>
        <w:tc>
          <w:tcPr>
            <w:tcW w:w="1303" w:type="dxa"/>
            <w:shd w:val="clear" w:color="auto" w:fill="auto"/>
            <w:vAlign w:val="center"/>
          </w:tcPr>
          <w:p w:rsidR="00B96FDC" w:rsidRPr="00C604EF" w:rsidRDefault="00B96FDC" w:rsidP="00B96FDC">
            <w:pPr>
              <w:pStyle w:val="Standardtableparagraph"/>
              <w:jc w:val="center"/>
            </w:pPr>
            <w:r w:rsidRPr="00C604EF">
              <w:t>24</w:t>
            </w:r>
          </w:p>
        </w:tc>
        <w:tc>
          <w:tcPr>
            <w:tcW w:w="1809" w:type="dxa"/>
            <w:shd w:val="clear" w:color="auto" w:fill="auto"/>
            <w:vAlign w:val="center"/>
          </w:tcPr>
          <w:p w:rsidR="00B96FDC" w:rsidRPr="00C604EF" w:rsidRDefault="00B96FDC" w:rsidP="00B96FDC">
            <w:pPr>
              <w:pStyle w:val="Standardtableparagraph"/>
              <w:jc w:val="center"/>
            </w:pPr>
            <w:r w:rsidRPr="00C604EF">
              <w:t>2</w:t>
            </w:r>
          </w:p>
        </w:tc>
      </w:tr>
      <w:tr w:rsidR="00B96FDC" w:rsidRPr="00D0670F" w:rsidTr="00B96FDC">
        <w:tc>
          <w:tcPr>
            <w:tcW w:w="3420" w:type="dxa"/>
            <w:shd w:val="clear" w:color="auto" w:fill="auto"/>
          </w:tcPr>
          <w:p w:rsidR="00B96FDC" w:rsidRPr="00C604EF" w:rsidRDefault="00B96FDC" w:rsidP="00B96FDC">
            <w:pPr>
              <w:pStyle w:val="Standardtableparagraph"/>
            </w:pPr>
            <w:r w:rsidRPr="00C604EF">
              <w:t>Non-standard buildings</w:t>
            </w:r>
          </w:p>
        </w:tc>
        <w:tc>
          <w:tcPr>
            <w:tcW w:w="1230" w:type="dxa"/>
            <w:shd w:val="clear" w:color="auto" w:fill="auto"/>
            <w:vAlign w:val="center"/>
          </w:tcPr>
          <w:p w:rsidR="00B96FDC" w:rsidRPr="00C604EF" w:rsidRDefault="00B96FDC" w:rsidP="00B96FDC">
            <w:pPr>
              <w:pStyle w:val="Standardtableparagraph"/>
              <w:jc w:val="center"/>
            </w:pPr>
            <w:r w:rsidRPr="00C604EF">
              <w:t>39</w:t>
            </w:r>
          </w:p>
        </w:tc>
        <w:tc>
          <w:tcPr>
            <w:tcW w:w="1758" w:type="dxa"/>
            <w:shd w:val="clear" w:color="auto" w:fill="auto"/>
            <w:vAlign w:val="center"/>
          </w:tcPr>
          <w:p w:rsidR="00B96FDC" w:rsidRPr="00C604EF" w:rsidRDefault="00B96FDC" w:rsidP="00B96FDC">
            <w:pPr>
              <w:pStyle w:val="Standardtableparagraph"/>
              <w:jc w:val="center"/>
            </w:pPr>
            <w:r w:rsidRPr="00C604EF">
              <w:t>2</w:t>
            </w:r>
          </w:p>
        </w:tc>
        <w:tc>
          <w:tcPr>
            <w:tcW w:w="1303" w:type="dxa"/>
            <w:shd w:val="clear" w:color="auto" w:fill="auto"/>
            <w:vAlign w:val="center"/>
          </w:tcPr>
          <w:p w:rsidR="00B96FDC" w:rsidRPr="00C604EF" w:rsidRDefault="00B96FDC" w:rsidP="00B96FDC">
            <w:pPr>
              <w:pStyle w:val="Standardtableparagraph"/>
              <w:jc w:val="center"/>
            </w:pPr>
            <w:r w:rsidRPr="00C604EF">
              <w:t>51</w:t>
            </w:r>
          </w:p>
        </w:tc>
        <w:tc>
          <w:tcPr>
            <w:tcW w:w="1809" w:type="dxa"/>
            <w:shd w:val="clear" w:color="auto" w:fill="auto"/>
            <w:vAlign w:val="center"/>
          </w:tcPr>
          <w:p w:rsidR="00B96FDC" w:rsidRPr="00C604EF" w:rsidRDefault="00B96FDC" w:rsidP="00B96FDC">
            <w:pPr>
              <w:pStyle w:val="Standardtableparagraph"/>
              <w:jc w:val="center"/>
            </w:pPr>
            <w:r w:rsidRPr="00C604EF">
              <w:t>4</w:t>
            </w:r>
          </w:p>
        </w:tc>
      </w:tr>
      <w:tr w:rsidR="00B96FDC" w:rsidRPr="00D0670F" w:rsidTr="00B96FDC">
        <w:tc>
          <w:tcPr>
            <w:tcW w:w="3420" w:type="dxa"/>
            <w:shd w:val="clear" w:color="auto" w:fill="auto"/>
          </w:tcPr>
          <w:p w:rsidR="00B96FDC" w:rsidRPr="00C604EF" w:rsidRDefault="00B96FDC" w:rsidP="00B96FDC">
            <w:pPr>
              <w:pStyle w:val="Standardtableparagraph"/>
            </w:pPr>
            <w:r w:rsidRPr="00C604EF">
              <w:t>Standard civil engineering</w:t>
            </w:r>
          </w:p>
        </w:tc>
        <w:tc>
          <w:tcPr>
            <w:tcW w:w="1230" w:type="dxa"/>
            <w:shd w:val="clear" w:color="auto" w:fill="auto"/>
            <w:vAlign w:val="center"/>
          </w:tcPr>
          <w:p w:rsidR="00B96FDC" w:rsidRPr="00C604EF" w:rsidRDefault="00B96FDC" w:rsidP="00B96FDC">
            <w:pPr>
              <w:pStyle w:val="Standardtableparagraph"/>
              <w:jc w:val="center"/>
            </w:pPr>
            <w:r w:rsidRPr="00C604EF">
              <w:t>20</w:t>
            </w:r>
          </w:p>
        </w:tc>
        <w:tc>
          <w:tcPr>
            <w:tcW w:w="1758" w:type="dxa"/>
            <w:shd w:val="clear" w:color="auto" w:fill="auto"/>
            <w:vAlign w:val="center"/>
          </w:tcPr>
          <w:p w:rsidR="00B96FDC" w:rsidRPr="00C604EF" w:rsidRDefault="00B96FDC" w:rsidP="00B96FDC">
            <w:pPr>
              <w:pStyle w:val="Standardtableparagraph"/>
              <w:jc w:val="center"/>
            </w:pPr>
            <w:r w:rsidRPr="00C604EF">
              <w:t>1</w:t>
            </w:r>
          </w:p>
        </w:tc>
        <w:tc>
          <w:tcPr>
            <w:tcW w:w="1303" w:type="dxa"/>
            <w:shd w:val="clear" w:color="auto" w:fill="auto"/>
            <w:vAlign w:val="center"/>
          </w:tcPr>
          <w:p w:rsidR="00B96FDC" w:rsidRPr="00C604EF" w:rsidRDefault="00B96FDC" w:rsidP="00B96FDC">
            <w:pPr>
              <w:pStyle w:val="Standardtableparagraph"/>
              <w:jc w:val="center"/>
            </w:pPr>
            <w:r w:rsidRPr="00C604EF">
              <w:t>44</w:t>
            </w:r>
          </w:p>
        </w:tc>
        <w:tc>
          <w:tcPr>
            <w:tcW w:w="1809" w:type="dxa"/>
            <w:shd w:val="clear" w:color="auto" w:fill="auto"/>
            <w:vAlign w:val="center"/>
          </w:tcPr>
          <w:p w:rsidR="00B96FDC" w:rsidRPr="00C604EF" w:rsidRDefault="00B96FDC" w:rsidP="00B96FDC">
            <w:pPr>
              <w:pStyle w:val="Standardtableparagraph"/>
              <w:jc w:val="center"/>
            </w:pPr>
            <w:r w:rsidRPr="00C604EF">
              <w:t>3</w:t>
            </w:r>
          </w:p>
        </w:tc>
      </w:tr>
      <w:tr w:rsidR="00B96FDC" w:rsidRPr="00D0670F" w:rsidTr="00B96FDC">
        <w:tc>
          <w:tcPr>
            <w:tcW w:w="3420" w:type="dxa"/>
            <w:shd w:val="clear" w:color="auto" w:fill="auto"/>
          </w:tcPr>
          <w:p w:rsidR="00B96FDC" w:rsidRPr="00C604EF" w:rsidRDefault="00B96FDC" w:rsidP="00B96FDC">
            <w:pPr>
              <w:pStyle w:val="Standardtableparagraph"/>
            </w:pPr>
            <w:r w:rsidRPr="00C604EF">
              <w:t>Non-standard civil engineering</w:t>
            </w:r>
          </w:p>
        </w:tc>
        <w:tc>
          <w:tcPr>
            <w:tcW w:w="1230" w:type="dxa"/>
            <w:shd w:val="clear" w:color="auto" w:fill="auto"/>
            <w:vAlign w:val="center"/>
          </w:tcPr>
          <w:p w:rsidR="00B96FDC" w:rsidRPr="00C604EF" w:rsidRDefault="00B96FDC" w:rsidP="00B96FDC">
            <w:pPr>
              <w:pStyle w:val="Standardtableparagraph"/>
              <w:jc w:val="center"/>
            </w:pPr>
            <w:r w:rsidRPr="00C604EF">
              <w:t>25</w:t>
            </w:r>
          </w:p>
        </w:tc>
        <w:tc>
          <w:tcPr>
            <w:tcW w:w="1758" w:type="dxa"/>
            <w:shd w:val="clear" w:color="auto" w:fill="auto"/>
            <w:vAlign w:val="center"/>
          </w:tcPr>
          <w:p w:rsidR="00B96FDC" w:rsidRPr="00C604EF" w:rsidRDefault="00B96FDC" w:rsidP="00B96FDC">
            <w:pPr>
              <w:pStyle w:val="Standardtableparagraph"/>
              <w:jc w:val="center"/>
            </w:pPr>
            <w:r w:rsidRPr="00C604EF">
              <w:t>3</w:t>
            </w:r>
          </w:p>
        </w:tc>
        <w:tc>
          <w:tcPr>
            <w:tcW w:w="1303" w:type="dxa"/>
            <w:shd w:val="clear" w:color="auto" w:fill="auto"/>
            <w:vAlign w:val="center"/>
          </w:tcPr>
          <w:p w:rsidR="00B96FDC" w:rsidRPr="00C604EF" w:rsidRDefault="00B96FDC" w:rsidP="00B96FDC">
            <w:pPr>
              <w:pStyle w:val="Standardtableparagraph"/>
              <w:jc w:val="center"/>
            </w:pPr>
            <w:r w:rsidRPr="00C604EF">
              <w:t>66</w:t>
            </w:r>
          </w:p>
        </w:tc>
        <w:tc>
          <w:tcPr>
            <w:tcW w:w="1809" w:type="dxa"/>
            <w:shd w:val="clear" w:color="auto" w:fill="auto"/>
            <w:vAlign w:val="center"/>
          </w:tcPr>
          <w:p w:rsidR="00B96FDC" w:rsidRPr="00C604EF" w:rsidRDefault="00B96FDC" w:rsidP="00B96FDC">
            <w:pPr>
              <w:pStyle w:val="Standardtableparagraph"/>
              <w:jc w:val="center"/>
            </w:pPr>
            <w:r w:rsidRPr="00C604EF">
              <w:t>6</w:t>
            </w:r>
          </w:p>
        </w:tc>
      </w:tr>
      <w:tr w:rsidR="00B96FDC" w:rsidRPr="00D0670F" w:rsidTr="00B96FDC">
        <w:tc>
          <w:tcPr>
            <w:tcW w:w="3420" w:type="dxa"/>
            <w:shd w:val="clear" w:color="auto" w:fill="auto"/>
          </w:tcPr>
          <w:p w:rsidR="00B96FDC" w:rsidRPr="00C604EF" w:rsidRDefault="00B96FDC" w:rsidP="00B96FDC">
            <w:pPr>
              <w:pStyle w:val="Standardtableparagraph"/>
            </w:pPr>
            <w:r w:rsidRPr="00C604EF">
              <w:t>Equipment/development</w:t>
            </w:r>
          </w:p>
        </w:tc>
        <w:tc>
          <w:tcPr>
            <w:tcW w:w="1230" w:type="dxa"/>
            <w:shd w:val="clear" w:color="auto" w:fill="auto"/>
            <w:vAlign w:val="center"/>
          </w:tcPr>
          <w:p w:rsidR="00B96FDC" w:rsidRPr="00C604EF" w:rsidRDefault="00B96FDC" w:rsidP="00B96FDC">
            <w:pPr>
              <w:pStyle w:val="Standardtableparagraph"/>
              <w:jc w:val="center"/>
            </w:pPr>
            <w:r w:rsidRPr="00C604EF">
              <w:t>54</w:t>
            </w:r>
          </w:p>
        </w:tc>
        <w:tc>
          <w:tcPr>
            <w:tcW w:w="1758" w:type="dxa"/>
            <w:shd w:val="clear" w:color="auto" w:fill="auto"/>
            <w:vAlign w:val="center"/>
          </w:tcPr>
          <w:p w:rsidR="00B96FDC" w:rsidRPr="00C604EF" w:rsidRDefault="00B96FDC" w:rsidP="00B96FDC">
            <w:pPr>
              <w:pStyle w:val="Standardtableparagraph"/>
              <w:jc w:val="center"/>
            </w:pPr>
            <w:r w:rsidRPr="00C604EF">
              <w:t>10</w:t>
            </w:r>
          </w:p>
        </w:tc>
        <w:tc>
          <w:tcPr>
            <w:tcW w:w="1303" w:type="dxa"/>
            <w:shd w:val="clear" w:color="auto" w:fill="auto"/>
            <w:vAlign w:val="center"/>
          </w:tcPr>
          <w:p w:rsidR="00B96FDC" w:rsidRPr="00C604EF" w:rsidRDefault="00B96FDC" w:rsidP="00B96FDC">
            <w:pPr>
              <w:pStyle w:val="Standardtableparagraph"/>
              <w:jc w:val="center"/>
            </w:pPr>
            <w:r w:rsidRPr="00C604EF">
              <w:t>200</w:t>
            </w:r>
          </w:p>
        </w:tc>
        <w:tc>
          <w:tcPr>
            <w:tcW w:w="1809" w:type="dxa"/>
            <w:shd w:val="clear" w:color="auto" w:fill="auto"/>
            <w:vAlign w:val="center"/>
          </w:tcPr>
          <w:p w:rsidR="00B96FDC" w:rsidRPr="00C604EF" w:rsidRDefault="00B96FDC" w:rsidP="00B96FDC">
            <w:pPr>
              <w:pStyle w:val="Standardtableparagraph"/>
              <w:jc w:val="center"/>
            </w:pPr>
            <w:r w:rsidRPr="00C604EF">
              <w:t>10</w:t>
            </w:r>
          </w:p>
        </w:tc>
      </w:tr>
      <w:tr w:rsidR="00B96FDC" w:rsidRPr="00D0670F" w:rsidTr="00B96FDC">
        <w:tc>
          <w:tcPr>
            <w:tcW w:w="3420" w:type="dxa"/>
            <w:shd w:val="clear" w:color="auto" w:fill="auto"/>
          </w:tcPr>
          <w:p w:rsidR="00B96FDC" w:rsidRPr="00C604EF" w:rsidRDefault="00B96FDC" w:rsidP="00B96FDC">
            <w:pPr>
              <w:pStyle w:val="Standardtableparagraph"/>
            </w:pPr>
            <w:r w:rsidRPr="00C604EF">
              <w:t>Outsourcing</w:t>
            </w:r>
          </w:p>
        </w:tc>
        <w:tc>
          <w:tcPr>
            <w:tcW w:w="1230" w:type="dxa"/>
            <w:shd w:val="clear" w:color="auto" w:fill="auto"/>
            <w:vAlign w:val="center"/>
          </w:tcPr>
          <w:p w:rsidR="00B96FDC" w:rsidRPr="00C604EF" w:rsidRDefault="00B96FDC" w:rsidP="00B96FDC">
            <w:pPr>
              <w:pStyle w:val="Standardtableparagraph"/>
              <w:jc w:val="center"/>
            </w:pPr>
            <w:r w:rsidRPr="00C604EF">
              <w:t>n/a</w:t>
            </w:r>
          </w:p>
        </w:tc>
        <w:tc>
          <w:tcPr>
            <w:tcW w:w="1758" w:type="dxa"/>
            <w:shd w:val="clear" w:color="auto" w:fill="auto"/>
            <w:vAlign w:val="center"/>
          </w:tcPr>
          <w:p w:rsidR="00B96FDC" w:rsidRPr="00C604EF" w:rsidRDefault="00B96FDC" w:rsidP="00B96FDC">
            <w:pPr>
              <w:pStyle w:val="Standardtableparagraph"/>
              <w:jc w:val="center"/>
            </w:pPr>
            <w:r w:rsidRPr="00C604EF">
              <w:t>n/a</w:t>
            </w:r>
          </w:p>
        </w:tc>
        <w:tc>
          <w:tcPr>
            <w:tcW w:w="1303" w:type="dxa"/>
            <w:shd w:val="clear" w:color="auto" w:fill="auto"/>
            <w:vAlign w:val="center"/>
          </w:tcPr>
          <w:p w:rsidR="00B96FDC" w:rsidRPr="00C604EF" w:rsidRDefault="00B96FDC" w:rsidP="00B96FDC">
            <w:pPr>
              <w:pStyle w:val="Standardtableparagraph"/>
              <w:jc w:val="center"/>
            </w:pPr>
            <w:r w:rsidRPr="00C604EF">
              <w:t>41*</w:t>
            </w:r>
          </w:p>
        </w:tc>
        <w:tc>
          <w:tcPr>
            <w:tcW w:w="1809" w:type="dxa"/>
            <w:shd w:val="clear" w:color="auto" w:fill="auto"/>
            <w:vAlign w:val="center"/>
          </w:tcPr>
          <w:p w:rsidR="00B96FDC" w:rsidRPr="00C604EF" w:rsidRDefault="00B96FDC" w:rsidP="00B96FDC">
            <w:pPr>
              <w:pStyle w:val="Standardtableparagraph"/>
              <w:jc w:val="center"/>
            </w:pPr>
            <w:r w:rsidRPr="00C604EF">
              <w:t>0*</w:t>
            </w:r>
          </w:p>
        </w:tc>
      </w:tr>
    </w:tbl>
    <w:p w:rsidR="00B96FDC" w:rsidRPr="00D0670F" w:rsidRDefault="00B96FDC" w:rsidP="00B96FDC">
      <w:pPr>
        <w:pStyle w:val="NoSpacing"/>
      </w:pPr>
      <w:r w:rsidRPr="00D0670F">
        <w:t xml:space="preserve">* </w:t>
      </w:r>
      <w:proofErr w:type="gramStart"/>
      <w:r w:rsidRPr="00D0670F">
        <w:t>the</w:t>
      </w:r>
      <w:proofErr w:type="gramEnd"/>
      <w:r w:rsidRPr="00D0670F">
        <w:t xml:space="preserve"> optimism bias for outsourcing projects is measured for operating expenditure.</w:t>
      </w:r>
    </w:p>
    <w:p w:rsidR="00B96FDC" w:rsidRDefault="00B96FDC" w:rsidP="00B96FDC">
      <w:pPr>
        <w:pStyle w:val="NoSpacing"/>
      </w:pPr>
    </w:p>
    <w:p w:rsidR="009636DF" w:rsidRDefault="00B96FDC" w:rsidP="00B96FDC">
      <w:pPr>
        <w:pStyle w:val="Standardparagraph"/>
        <w:rPr>
          <w:lang w:eastAsia="en-GB"/>
        </w:rPr>
      </w:pPr>
      <w:r>
        <w:rPr>
          <w:lang w:eastAsia="en-GB"/>
        </w:rPr>
        <w:t xml:space="preserve">If, however, historical precedents of similar types of projects are available then </w:t>
      </w:r>
      <w:r w:rsidR="009636DF">
        <w:rPr>
          <w:lang w:eastAsia="en-GB"/>
        </w:rPr>
        <w:t xml:space="preserve">this can be used as a source of cost information for setting an </w:t>
      </w:r>
      <w:r>
        <w:rPr>
          <w:lang w:eastAsia="en-GB"/>
        </w:rPr>
        <w:t xml:space="preserve">alternative </w:t>
      </w:r>
      <w:r w:rsidR="009636DF">
        <w:rPr>
          <w:lang w:eastAsia="en-GB"/>
        </w:rPr>
        <w:t>upper bound percentage.  An explanation will be required of the assumptions made and robustness of this alternative adjustment factor.</w:t>
      </w:r>
    </w:p>
    <w:p w:rsidR="00B96FDC" w:rsidRDefault="009636DF" w:rsidP="009636DF">
      <w:pPr>
        <w:pStyle w:val="Heading3"/>
      </w:pPr>
      <w:r>
        <w:t>Step 3: Assess the level of mitigation already carried out</w:t>
      </w:r>
    </w:p>
    <w:p w:rsidR="00D677E9" w:rsidRDefault="009636DF" w:rsidP="00D677E9">
      <w:pPr>
        <w:pStyle w:val="Standardparagraph"/>
      </w:pPr>
      <w:r>
        <w:t>The identified upper bound level for opti</w:t>
      </w:r>
      <w:r w:rsidR="00AB3885">
        <w:t>mism bias should</w:t>
      </w:r>
      <w:r>
        <w:t xml:space="preserve"> be reduced to take account of the extent to which each </w:t>
      </w:r>
      <w:r w:rsidR="00D677E9">
        <w:t xml:space="preserve">Optimism Bias </w:t>
      </w:r>
      <w:r>
        <w:t xml:space="preserve">contributory factor has been mitigated.  The following table provides a list of typical </w:t>
      </w:r>
      <w:r w:rsidR="00D677E9">
        <w:t xml:space="preserve">Optimism Bias </w:t>
      </w:r>
      <w:r w:rsidR="00AB3885">
        <w:t>Contributory F</w:t>
      </w:r>
      <w:r>
        <w:t xml:space="preserve">actors </w:t>
      </w:r>
      <w:r w:rsidR="00D677E9">
        <w:t>and their</w:t>
      </w:r>
      <w:r w:rsidR="00AB3885">
        <w:t xml:space="preserve"> </w:t>
      </w:r>
      <w:r w:rsidR="00CC204A">
        <w:t xml:space="preserve">proportion </w:t>
      </w:r>
      <w:r>
        <w:t>related to a building related project</w:t>
      </w:r>
      <w:r w:rsidR="00CC204A">
        <w:t>:</w:t>
      </w:r>
    </w:p>
    <w:p w:rsidR="00AB3885" w:rsidRDefault="00AB3885" w:rsidP="00D677E9">
      <w:pPr>
        <w:pStyle w:val="Standardparagraph"/>
      </w:pPr>
      <w:r>
        <w:br w:type="page"/>
      </w:r>
    </w:p>
    <w:tbl>
      <w:tblPr>
        <w:tblW w:w="0" w:type="auto"/>
        <w:tblInd w:w="8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3480"/>
        <w:gridCol w:w="1363"/>
        <w:gridCol w:w="1701"/>
        <w:gridCol w:w="2613"/>
      </w:tblGrid>
      <w:tr w:rsidR="002265C1" w:rsidRPr="00AB3885" w:rsidTr="00AB3885">
        <w:trPr>
          <w:trHeight w:val="255"/>
        </w:trPr>
        <w:tc>
          <w:tcPr>
            <w:tcW w:w="0" w:type="auto"/>
            <w:tcBorders>
              <w:top w:val="single" w:sz="18" w:space="0" w:color="auto"/>
              <w:bottom w:val="single" w:sz="6" w:space="0" w:color="auto"/>
            </w:tcBorders>
            <w:shd w:val="clear" w:color="auto" w:fill="31849B" w:themeFill="accent5" w:themeFillShade="BF"/>
            <w:vAlign w:val="center"/>
            <w:hideMark/>
          </w:tcPr>
          <w:p w:rsidR="002265C1" w:rsidRPr="00AB3885" w:rsidRDefault="002265C1" w:rsidP="002265C1">
            <w:pPr>
              <w:spacing w:before="120" w:after="120" w:line="240" w:lineRule="auto"/>
              <w:ind w:left="57"/>
              <w:jc w:val="center"/>
              <w:rPr>
                <w:rFonts w:ascii="Arial" w:eastAsia="Times New Roman" w:hAnsi="Arial" w:cs="Arial"/>
                <w:b/>
                <w:bCs/>
                <w:color w:val="FFFFFF" w:themeColor="background1"/>
                <w:sz w:val="20"/>
                <w:szCs w:val="20"/>
                <w:lang w:eastAsia="en-GB"/>
              </w:rPr>
            </w:pPr>
            <w:r w:rsidRPr="00AB3885">
              <w:rPr>
                <w:rFonts w:ascii="Arial" w:eastAsia="Times New Roman" w:hAnsi="Arial" w:cs="Arial"/>
                <w:b/>
                <w:bCs/>
                <w:color w:val="FFFFFF" w:themeColor="background1"/>
                <w:sz w:val="20"/>
                <w:szCs w:val="20"/>
                <w:lang w:eastAsia="en-GB"/>
              </w:rPr>
              <w:lastRenderedPageBreak/>
              <w:t>Contributory Factor to Upper Bound</w:t>
            </w:r>
          </w:p>
        </w:tc>
        <w:tc>
          <w:tcPr>
            <w:tcW w:w="1363" w:type="dxa"/>
            <w:tcBorders>
              <w:top w:val="single" w:sz="18" w:space="0" w:color="auto"/>
              <w:bottom w:val="single" w:sz="6" w:space="0" w:color="auto"/>
            </w:tcBorders>
            <w:shd w:val="clear" w:color="auto" w:fill="31849B" w:themeFill="accent5" w:themeFillShade="BF"/>
            <w:vAlign w:val="center"/>
            <w:hideMark/>
          </w:tcPr>
          <w:p w:rsidR="002265C1" w:rsidRPr="00AB3885" w:rsidRDefault="002265C1" w:rsidP="002265C1">
            <w:pPr>
              <w:spacing w:before="120" w:after="120" w:line="240" w:lineRule="auto"/>
              <w:jc w:val="center"/>
              <w:rPr>
                <w:rFonts w:ascii="Arial" w:eastAsia="Times New Roman" w:hAnsi="Arial" w:cs="Arial"/>
                <w:b/>
                <w:bCs/>
                <w:color w:val="FFFFFF" w:themeColor="background1"/>
                <w:sz w:val="20"/>
                <w:szCs w:val="20"/>
                <w:lang w:eastAsia="en-GB"/>
              </w:rPr>
            </w:pPr>
            <w:r w:rsidRPr="00AB3885">
              <w:rPr>
                <w:rFonts w:ascii="Arial" w:eastAsia="Times New Roman" w:hAnsi="Arial" w:cs="Arial"/>
                <w:b/>
                <w:bCs/>
                <w:color w:val="FFFFFF" w:themeColor="background1"/>
                <w:sz w:val="20"/>
                <w:szCs w:val="20"/>
                <w:lang w:eastAsia="en-GB"/>
              </w:rPr>
              <w:t>% Factor Contributes</w:t>
            </w:r>
          </w:p>
        </w:tc>
        <w:tc>
          <w:tcPr>
            <w:tcW w:w="1701" w:type="dxa"/>
            <w:tcBorders>
              <w:top w:val="single" w:sz="18" w:space="0" w:color="auto"/>
              <w:bottom w:val="single" w:sz="6" w:space="0" w:color="auto"/>
            </w:tcBorders>
            <w:shd w:val="clear" w:color="auto" w:fill="31849B" w:themeFill="accent5" w:themeFillShade="BF"/>
            <w:vAlign w:val="center"/>
            <w:hideMark/>
          </w:tcPr>
          <w:p w:rsidR="002265C1" w:rsidRPr="00AB3885" w:rsidRDefault="002265C1" w:rsidP="002265C1">
            <w:pPr>
              <w:spacing w:before="120" w:after="120" w:line="240" w:lineRule="auto"/>
              <w:jc w:val="center"/>
              <w:rPr>
                <w:rFonts w:ascii="Arial" w:eastAsia="Times New Roman" w:hAnsi="Arial" w:cs="Arial"/>
                <w:b/>
                <w:bCs/>
                <w:color w:val="FFFFFF" w:themeColor="background1"/>
                <w:sz w:val="20"/>
                <w:szCs w:val="20"/>
                <w:lang w:eastAsia="en-GB"/>
              </w:rPr>
            </w:pPr>
            <w:r w:rsidRPr="00AB3885">
              <w:rPr>
                <w:rFonts w:ascii="Arial" w:eastAsia="Times New Roman" w:hAnsi="Arial" w:cs="Arial"/>
                <w:b/>
                <w:bCs/>
                <w:color w:val="FFFFFF" w:themeColor="background1"/>
                <w:sz w:val="20"/>
                <w:szCs w:val="20"/>
                <w:lang w:eastAsia="en-GB"/>
              </w:rPr>
              <w:t>% Factor Contributes after mitigation</w:t>
            </w:r>
          </w:p>
        </w:tc>
        <w:tc>
          <w:tcPr>
            <w:tcW w:w="2613" w:type="dxa"/>
            <w:tcBorders>
              <w:top w:val="single" w:sz="18" w:space="0" w:color="auto"/>
              <w:bottom w:val="single" w:sz="6" w:space="0" w:color="auto"/>
            </w:tcBorders>
            <w:shd w:val="clear" w:color="auto" w:fill="31849B" w:themeFill="accent5" w:themeFillShade="BF"/>
            <w:vAlign w:val="center"/>
            <w:hideMark/>
          </w:tcPr>
          <w:p w:rsidR="002265C1" w:rsidRPr="00AB3885" w:rsidRDefault="002265C1" w:rsidP="002265C1">
            <w:pPr>
              <w:spacing w:before="120" w:after="120" w:line="240" w:lineRule="auto"/>
              <w:jc w:val="center"/>
              <w:rPr>
                <w:rFonts w:ascii="Arial" w:eastAsia="Times New Roman" w:hAnsi="Arial" w:cs="Arial"/>
                <w:b/>
                <w:bCs/>
                <w:color w:val="FFFFFF" w:themeColor="background1"/>
                <w:sz w:val="20"/>
                <w:szCs w:val="20"/>
                <w:lang w:eastAsia="en-GB"/>
              </w:rPr>
            </w:pPr>
            <w:r w:rsidRPr="00AB3885">
              <w:rPr>
                <w:rFonts w:ascii="Arial" w:eastAsia="Times New Roman" w:hAnsi="Arial" w:cs="Arial"/>
                <w:b/>
                <w:bCs/>
                <w:color w:val="FFFFFF" w:themeColor="background1"/>
                <w:sz w:val="20"/>
                <w:szCs w:val="20"/>
                <w:lang w:eastAsia="en-GB"/>
              </w:rPr>
              <w:t>Explanation for rate of mitigation</w:t>
            </w:r>
          </w:p>
        </w:tc>
      </w:tr>
      <w:tr w:rsidR="002265C1" w:rsidRPr="002265C1" w:rsidTr="00AB3885">
        <w:trPr>
          <w:trHeight w:val="255"/>
        </w:trPr>
        <w:tc>
          <w:tcPr>
            <w:tcW w:w="0" w:type="auto"/>
            <w:tcBorders>
              <w:top w:val="single" w:sz="6" w:space="0" w:color="auto"/>
            </w:tcBorders>
            <w:shd w:val="clear" w:color="auto" w:fill="auto"/>
            <w:vAlign w:val="center"/>
            <w:hideMark/>
          </w:tcPr>
          <w:p w:rsidR="002265C1" w:rsidRPr="002265C1" w:rsidRDefault="002265C1" w:rsidP="002265C1">
            <w:pPr>
              <w:spacing w:before="60" w:after="60" w:line="240" w:lineRule="auto"/>
              <w:ind w:left="57"/>
              <w:rPr>
                <w:rFonts w:ascii="Arial" w:eastAsia="Times New Roman" w:hAnsi="Arial" w:cs="Arial"/>
                <w:sz w:val="20"/>
                <w:szCs w:val="20"/>
                <w:lang w:eastAsia="en-GB"/>
              </w:rPr>
            </w:pPr>
            <w:r w:rsidRPr="002265C1">
              <w:rPr>
                <w:rFonts w:ascii="Arial" w:eastAsia="Times New Roman" w:hAnsi="Arial" w:cs="Arial"/>
                <w:sz w:val="20"/>
                <w:szCs w:val="20"/>
                <w:lang w:eastAsia="en-GB"/>
              </w:rPr>
              <w:t>Progress with Planning Approval</w:t>
            </w:r>
          </w:p>
        </w:tc>
        <w:tc>
          <w:tcPr>
            <w:tcW w:w="1363" w:type="dxa"/>
            <w:tcBorders>
              <w:top w:val="single" w:sz="6" w:space="0" w:color="auto"/>
            </w:tcBorders>
            <w:shd w:val="clear" w:color="auto" w:fill="auto"/>
            <w:vAlign w:val="center"/>
            <w:hideMark/>
          </w:tcPr>
          <w:p w:rsidR="002265C1" w:rsidRPr="002265C1" w:rsidRDefault="002265C1" w:rsidP="002265C1">
            <w:pPr>
              <w:spacing w:before="60" w:after="60" w:line="240" w:lineRule="auto"/>
              <w:jc w:val="center"/>
              <w:rPr>
                <w:rFonts w:ascii="Arial" w:eastAsia="Times New Roman" w:hAnsi="Arial" w:cs="Arial"/>
                <w:sz w:val="20"/>
                <w:szCs w:val="20"/>
                <w:lang w:eastAsia="en-GB"/>
              </w:rPr>
            </w:pPr>
            <w:r w:rsidRPr="002265C1">
              <w:rPr>
                <w:rFonts w:ascii="Arial" w:eastAsia="Times New Roman" w:hAnsi="Arial" w:cs="Arial"/>
                <w:sz w:val="20"/>
                <w:szCs w:val="20"/>
                <w:lang w:eastAsia="en-GB"/>
              </w:rPr>
              <w:t>4</w:t>
            </w:r>
          </w:p>
        </w:tc>
        <w:tc>
          <w:tcPr>
            <w:tcW w:w="1701" w:type="dxa"/>
            <w:tcBorders>
              <w:top w:val="single" w:sz="6" w:space="0" w:color="auto"/>
            </w:tcBorders>
            <w:shd w:val="clear" w:color="auto" w:fill="auto"/>
            <w:vAlign w:val="center"/>
            <w:hideMark/>
          </w:tcPr>
          <w:p w:rsidR="002265C1" w:rsidRPr="002265C1" w:rsidRDefault="002265C1" w:rsidP="002265C1">
            <w:pPr>
              <w:spacing w:before="60" w:after="60" w:line="240" w:lineRule="auto"/>
              <w:jc w:val="center"/>
              <w:rPr>
                <w:rFonts w:ascii="Arial" w:eastAsia="Times New Roman" w:hAnsi="Arial" w:cs="Arial"/>
                <w:color w:val="0000CC"/>
                <w:sz w:val="20"/>
                <w:szCs w:val="20"/>
                <w:lang w:eastAsia="en-GB"/>
              </w:rPr>
            </w:pPr>
          </w:p>
        </w:tc>
        <w:tc>
          <w:tcPr>
            <w:tcW w:w="2613" w:type="dxa"/>
            <w:tcBorders>
              <w:top w:val="single" w:sz="6" w:space="0" w:color="auto"/>
            </w:tcBorders>
            <w:shd w:val="clear" w:color="auto" w:fill="auto"/>
            <w:vAlign w:val="center"/>
            <w:hideMark/>
          </w:tcPr>
          <w:p w:rsidR="002265C1" w:rsidRPr="002265C1" w:rsidRDefault="002265C1" w:rsidP="002265C1">
            <w:pPr>
              <w:spacing w:before="60" w:after="60" w:line="240" w:lineRule="auto"/>
              <w:rPr>
                <w:rFonts w:ascii="Arial" w:eastAsia="Times New Roman" w:hAnsi="Arial" w:cs="Arial"/>
                <w:sz w:val="20"/>
                <w:szCs w:val="20"/>
                <w:lang w:eastAsia="en-GB"/>
              </w:rPr>
            </w:pPr>
          </w:p>
        </w:tc>
      </w:tr>
      <w:tr w:rsidR="002265C1" w:rsidRPr="002265C1" w:rsidTr="00AB3885">
        <w:trPr>
          <w:trHeight w:val="255"/>
        </w:trPr>
        <w:tc>
          <w:tcPr>
            <w:tcW w:w="0" w:type="auto"/>
            <w:shd w:val="clear" w:color="auto" w:fill="auto"/>
            <w:vAlign w:val="center"/>
            <w:hideMark/>
          </w:tcPr>
          <w:p w:rsidR="002265C1" w:rsidRPr="002265C1" w:rsidRDefault="00AB3885" w:rsidP="00AB3885">
            <w:pPr>
              <w:spacing w:before="60" w:after="60" w:line="240" w:lineRule="auto"/>
              <w:ind w:left="57"/>
              <w:rPr>
                <w:rFonts w:ascii="Arial" w:eastAsia="Times New Roman" w:hAnsi="Arial" w:cs="Arial"/>
                <w:sz w:val="20"/>
                <w:szCs w:val="20"/>
                <w:lang w:eastAsia="en-GB"/>
              </w:rPr>
            </w:pPr>
            <w:r>
              <w:rPr>
                <w:rFonts w:ascii="Arial" w:eastAsia="Times New Roman" w:hAnsi="Arial" w:cs="Arial"/>
                <w:sz w:val="20"/>
                <w:szCs w:val="20"/>
                <w:lang w:eastAsia="en-GB"/>
              </w:rPr>
              <w:t>Progress with o</w:t>
            </w:r>
            <w:r w:rsidR="002265C1" w:rsidRPr="002265C1">
              <w:rPr>
                <w:rFonts w:ascii="Arial" w:eastAsia="Times New Roman" w:hAnsi="Arial" w:cs="Arial"/>
                <w:sz w:val="20"/>
                <w:szCs w:val="20"/>
                <w:lang w:eastAsia="en-GB"/>
              </w:rPr>
              <w:t>ther Regulatory</w:t>
            </w:r>
            <w:r>
              <w:rPr>
                <w:rFonts w:ascii="Arial" w:eastAsia="Times New Roman" w:hAnsi="Arial" w:cs="Arial"/>
                <w:sz w:val="20"/>
                <w:szCs w:val="20"/>
                <w:lang w:eastAsia="en-GB"/>
              </w:rPr>
              <w:t xml:space="preserve"> approvals</w:t>
            </w:r>
          </w:p>
        </w:tc>
        <w:tc>
          <w:tcPr>
            <w:tcW w:w="1363" w:type="dxa"/>
            <w:shd w:val="clear" w:color="auto" w:fill="auto"/>
            <w:vAlign w:val="center"/>
            <w:hideMark/>
          </w:tcPr>
          <w:p w:rsidR="002265C1" w:rsidRPr="002265C1" w:rsidRDefault="002265C1" w:rsidP="002265C1">
            <w:pPr>
              <w:spacing w:before="60" w:after="60" w:line="240" w:lineRule="auto"/>
              <w:jc w:val="center"/>
              <w:rPr>
                <w:rFonts w:ascii="Arial" w:eastAsia="Times New Roman" w:hAnsi="Arial" w:cs="Arial"/>
                <w:sz w:val="20"/>
                <w:szCs w:val="20"/>
                <w:lang w:eastAsia="en-GB"/>
              </w:rPr>
            </w:pPr>
            <w:r w:rsidRPr="002265C1">
              <w:rPr>
                <w:rFonts w:ascii="Arial" w:eastAsia="Times New Roman" w:hAnsi="Arial" w:cs="Arial"/>
                <w:sz w:val="20"/>
                <w:szCs w:val="20"/>
                <w:lang w:eastAsia="en-GB"/>
              </w:rPr>
              <w:t>4</w:t>
            </w:r>
          </w:p>
        </w:tc>
        <w:tc>
          <w:tcPr>
            <w:tcW w:w="1701" w:type="dxa"/>
            <w:shd w:val="clear" w:color="auto" w:fill="auto"/>
            <w:vAlign w:val="center"/>
            <w:hideMark/>
          </w:tcPr>
          <w:p w:rsidR="002265C1" w:rsidRPr="002265C1" w:rsidRDefault="002265C1" w:rsidP="002265C1">
            <w:pPr>
              <w:spacing w:before="60" w:after="60" w:line="240" w:lineRule="auto"/>
              <w:jc w:val="center"/>
              <w:rPr>
                <w:rFonts w:ascii="Arial" w:eastAsia="Times New Roman" w:hAnsi="Arial" w:cs="Arial"/>
                <w:color w:val="0000CC"/>
                <w:sz w:val="20"/>
                <w:szCs w:val="20"/>
                <w:lang w:eastAsia="en-GB"/>
              </w:rPr>
            </w:pPr>
          </w:p>
        </w:tc>
        <w:tc>
          <w:tcPr>
            <w:tcW w:w="2613" w:type="dxa"/>
            <w:shd w:val="clear" w:color="auto" w:fill="auto"/>
            <w:vAlign w:val="center"/>
            <w:hideMark/>
          </w:tcPr>
          <w:p w:rsidR="002265C1" w:rsidRPr="002265C1" w:rsidRDefault="002265C1" w:rsidP="002265C1">
            <w:pPr>
              <w:spacing w:before="60" w:after="60" w:line="240" w:lineRule="auto"/>
              <w:rPr>
                <w:rFonts w:ascii="Arial" w:eastAsia="Times New Roman" w:hAnsi="Arial" w:cs="Arial"/>
                <w:sz w:val="20"/>
                <w:szCs w:val="20"/>
                <w:lang w:eastAsia="en-GB"/>
              </w:rPr>
            </w:pPr>
          </w:p>
        </w:tc>
      </w:tr>
      <w:tr w:rsidR="002265C1" w:rsidRPr="002265C1" w:rsidTr="00AB3885">
        <w:trPr>
          <w:trHeight w:val="255"/>
        </w:trPr>
        <w:tc>
          <w:tcPr>
            <w:tcW w:w="0" w:type="auto"/>
            <w:shd w:val="clear" w:color="auto" w:fill="auto"/>
            <w:vAlign w:val="center"/>
            <w:hideMark/>
          </w:tcPr>
          <w:p w:rsidR="002265C1" w:rsidRPr="002265C1" w:rsidRDefault="002265C1" w:rsidP="002265C1">
            <w:pPr>
              <w:spacing w:before="60" w:after="60" w:line="240" w:lineRule="auto"/>
              <w:ind w:left="57"/>
              <w:rPr>
                <w:rFonts w:ascii="Arial" w:eastAsia="Times New Roman" w:hAnsi="Arial" w:cs="Arial"/>
                <w:sz w:val="20"/>
                <w:szCs w:val="20"/>
                <w:lang w:eastAsia="en-GB"/>
              </w:rPr>
            </w:pPr>
            <w:r w:rsidRPr="002265C1">
              <w:rPr>
                <w:rFonts w:ascii="Arial" w:eastAsia="Times New Roman" w:hAnsi="Arial" w:cs="Arial"/>
                <w:sz w:val="20"/>
                <w:szCs w:val="20"/>
                <w:lang w:eastAsia="en-GB"/>
              </w:rPr>
              <w:t>Depth of surveying of site/ground information</w:t>
            </w:r>
          </w:p>
        </w:tc>
        <w:tc>
          <w:tcPr>
            <w:tcW w:w="1363" w:type="dxa"/>
            <w:shd w:val="clear" w:color="auto" w:fill="auto"/>
            <w:vAlign w:val="center"/>
            <w:hideMark/>
          </w:tcPr>
          <w:p w:rsidR="002265C1" w:rsidRPr="002265C1" w:rsidRDefault="002265C1" w:rsidP="002265C1">
            <w:pPr>
              <w:spacing w:before="60" w:after="60" w:line="240" w:lineRule="auto"/>
              <w:jc w:val="center"/>
              <w:rPr>
                <w:rFonts w:ascii="Arial" w:eastAsia="Times New Roman" w:hAnsi="Arial" w:cs="Arial"/>
                <w:sz w:val="20"/>
                <w:szCs w:val="20"/>
                <w:lang w:eastAsia="en-GB"/>
              </w:rPr>
            </w:pPr>
            <w:r w:rsidRPr="002265C1">
              <w:rPr>
                <w:rFonts w:ascii="Arial" w:eastAsia="Times New Roman" w:hAnsi="Arial" w:cs="Arial"/>
                <w:sz w:val="20"/>
                <w:szCs w:val="20"/>
                <w:lang w:eastAsia="en-GB"/>
              </w:rPr>
              <w:t>3</w:t>
            </w:r>
          </w:p>
        </w:tc>
        <w:tc>
          <w:tcPr>
            <w:tcW w:w="1701" w:type="dxa"/>
            <w:shd w:val="clear" w:color="auto" w:fill="auto"/>
            <w:vAlign w:val="center"/>
            <w:hideMark/>
          </w:tcPr>
          <w:p w:rsidR="002265C1" w:rsidRPr="002265C1" w:rsidRDefault="002265C1" w:rsidP="002265C1">
            <w:pPr>
              <w:spacing w:before="60" w:after="60" w:line="240" w:lineRule="auto"/>
              <w:jc w:val="center"/>
              <w:rPr>
                <w:rFonts w:ascii="Arial" w:eastAsia="Times New Roman" w:hAnsi="Arial" w:cs="Arial"/>
                <w:color w:val="0000CC"/>
                <w:sz w:val="20"/>
                <w:szCs w:val="20"/>
                <w:lang w:eastAsia="en-GB"/>
              </w:rPr>
            </w:pPr>
          </w:p>
        </w:tc>
        <w:tc>
          <w:tcPr>
            <w:tcW w:w="2613" w:type="dxa"/>
            <w:shd w:val="clear" w:color="auto" w:fill="auto"/>
            <w:vAlign w:val="center"/>
            <w:hideMark/>
          </w:tcPr>
          <w:p w:rsidR="002265C1" w:rsidRPr="002265C1" w:rsidRDefault="002265C1" w:rsidP="002265C1">
            <w:pPr>
              <w:spacing w:before="60" w:after="60" w:line="240" w:lineRule="auto"/>
              <w:rPr>
                <w:rFonts w:ascii="Arial" w:eastAsia="Times New Roman" w:hAnsi="Arial" w:cs="Arial"/>
                <w:sz w:val="20"/>
                <w:szCs w:val="20"/>
                <w:lang w:eastAsia="en-GB"/>
              </w:rPr>
            </w:pPr>
          </w:p>
        </w:tc>
      </w:tr>
      <w:tr w:rsidR="002265C1" w:rsidRPr="002265C1" w:rsidTr="00AB3885">
        <w:trPr>
          <w:trHeight w:val="255"/>
        </w:trPr>
        <w:tc>
          <w:tcPr>
            <w:tcW w:w="0" w:type="auto"/>
            <w:shd w:val="clear" w:color="auto" w:fill="auto"/>
            <w:vAlign w:val="center"/>
            <w:hideMark/>
          </w:tcPr>
          <w:p w:rsidR="002265C1" w:rsidRPr="002265C1" w:rsidRDefault="002265C1" w:rsidP="002265C1">
            <w:pPr>
              <w:spacing w:before="60" w:after="60" w:line="240" w:lineRule="auto"/>
              <w:ind w:left="57"/>
              <w:rPr>
                <w:rFonts w:ascii="Arial" w:eastAsia="Times New Roman" w:hAnsi="Arial" w:cs="Arial"/>
                <w:sz w:val="20"/>
                <w:szCs w:val="20"/>
                <w:lang w:eastAsia="en-GB"/>
              </w:rPr>
            </w:pPr>
            <w:r w:rsidRPr="002265C1">
              <w:rPr>
                <w:rFonts w:ascii="Arial" w:eastAsia="Times New Roman" w:hAnsi="Arial" w:cs="Arial"/>
                <w:sz w:val="20"/>
                <w:szCs w:val="20"/>
                <w:lang w:eastAsia="en-GB"/>
              </w:rPr>
              <w:t>Detail of design</w:t>
            </w:r>
          </w:p>
        </w:tc>
        <w:tc>
          <w:tcPr>
            <w:tcW w:w="1363" w:type="dxa"/>
            <w:shd w:val="clear" w:color="auto" w:fill="auto"/>
            <w:vAlign w:val="center"/>
            <w:hideMark/>
          </w:tcPr>
          <w:p w:rsidR="002265C1" w:rsidRPr="002265C1" w:rsidRDefault="002265C1" w:rsidP="002265C1">
            <w:pPr>
              <w:spacing w:before="60" w:after="60" w:line="240" w:lineRule="auto"/>
              <w:jc w:val="center"/>
              <w:rPr>
                <w:rFonts w:ascii="Arial" w:eastAsia="Times New Roman" w:hAnsi="Arial" w:cs="Arial"/>
                <w:sz w:val="20"/>
                <w:szCs w:val="20"/>
                <w:lang w:eastAsia="en-GB"/>
              </w:rPr>
            </w:pPr>
            <w:r w:rsidRPr="002265C1">
              <w:rPr>
                <w:rFonts w:ascii="Arial" w:eastAsia="Times New Roman" w:hAnsi="Arial" w:cs="Arial"/>
                <w:sz w:val="20"/>
                <w:szCs w:val="20"/>
                <w:lang w:eastAsia="en-GB"/>
              </w:rPr>
              <w:t>4</w:t>
            </w:r>
          </w:p>
        </w:tc>
        <w:tc>
          <w:tcPr>
            <w:tcW w:w="1701" w:type="dxa"/>
            <w:shd w:val="clear" w:color="auto" w:fill="auto"/>
            <w:vAlign w:val="center"/>
            <w:hideMark/>
          </w:tcPr>
          <w:p w:rsidR="002265C1" w:rsidRPr="002265C1" w:rsidRDefault="002265C1" w:rsidP="002265C1">
            <w:pPr>
              <w:spacing w:before="60" w:after="60" w:line="240" w:lineRule="auto"/>
              <w:jc w:val="center"/>
              <w:rPr>
                <w:rFonts w:ascii="Arial" w:eastAsia="Times New Roman" w:hAnsi="Arial" w:cs="Arial"/>
                <w:color w:val="0000CC"/>
                <w:sz w:val="20"/>
                <w:szCs w:val="20"/>
                <w:lang w:eastAsia="en-GB"/>
              </w:rPr>
            </w:pPr>
          </w:p>
        </w:tc>
        <w:tc>
          <w:tcPr>
            <w:tcW w:w="2613" w:type="dxa"/>
            <w:shd w:val="clear" w:color="auto" w:fill="auto"/>
            <w:vAlign w:val="center"/>
            <w:hideMark/>
          </w:tcPr>
          <w:p w:rsidR="002265C1" w:rsidRPr="002265C1" w:rsidRDefault="002265C1" w:rsidP="002265C1">
            <w:pPr>
              <w:spacing w:before="60" w:after="60" w:line="240" w:lineRule="auto"/>
              <w:rPr>
                <w:rFonts w:ascii="Arial" w:eastAsia="Times New Roman" w:hAnsi="Arial" w:cs="Arial"/>
                <w:sz w:val="20"/>
                <w:szCs w:val="20"/>
                <w:lang w:eastAsia="en-GB"/>
              </w:rPr>
            </w:pPr>
          </w:p>
        </w:tc>
      </w:tr>
      <w:tr w:rsidR="002265C1" w:rsidRPr="002265C1" w:rsidTr="00AB3885">
        <w:trPr>
          <w:trHeight w:val="255"/>
        </w:trPr>
        <w:tc>
          <w:tcPr>
            <w:tcW w:w="0" w:type="auto"/>
            <w:shd w:val="clear" w:color="auto" w:fill="auto"/>
            <w:vAlign w:val="center"/>
            <w:hideMark/>
          </w:tcPr>
          <w:p w:rsidR="002265C1" w:rsidRPr="002265C1" w:rsidRDefault="002265C1" w:rsidP="002265C1">
            <w:pPr>
              <w:spacing w:before="60" w:after="60" w:line="240" w:lineRule="auto"/>
              <w:ind w:left="57"/>
              <w:rPr>
                <w:rFonts w:ascii="Arial" w:eastAsia="Times New Roman" w:hAnsi="Arial" w:cs="Arial"/>
                <w:sz w:val="20"/>
                <w:szCs w:val="20"/>
                <w:lang w:eastAsia="en-GB"/>
              </w:rPr>
            </w:pPr>
            <w:r w:rsidRPr="002265C1">
              <w:rPr>
                <w:rFonts w:ascii="Arial" w:eastAsia="Times New Roman" w:hAnsi="Arial" w:cs="Arial"/>
                <w:sz w:val="20"/>
                <w:szCs w:val="20"/>
                <w:lang w:eastAsia="en-GB"/>
              </w:rPr>
              <w:t>Innovative project/design (i.e. has this type of project/design been undertaken before)</w:t>
            </w:r>
          </w:p>
        </w:tc>
        <w:tc>
          <w:tcPr>
            <w:tcW w:w="1363" w:type="dxa"/>
            <w:shd w:val="clear" w:color="auto" w:fill="auto"/>
            <w:vAlign w:val="center"/>
            <w:hideMark/>
          </w:tcPr>
          <w:p w:rsidR="002265C1" w:rsidRPr="002265C1" w:rsidRDefault="002265C1" w:rsidP="002265C1">
            <w:pPr>
              <w:spacing w:before="60" w:after="60" w:line="240" w:lineRule="auto"/>
              <w:jc w:val="center"/>
              <w:rPr>
                <w:rFonts w:ascii="Arial" w:eastAsia="Times New Roman" w:hAnsi="Arial" w:cs="Arial"/>
                <w:sz w:val="20"/>
                <w:szCs w:val="20"/>
                <w:lang w:eastAsia="en-GB"/>
              </w:rPr>
            </w:pPr>
            <w:r w:rsidRPr="002265C1">
              <w:rPr>
                <w:rFonts w:ascii="Arial" w:eastAsia="Times New Roman" w:hAnsi="Arial" w:cs="Arial"/>
                <w:sz w:val="20"/>
                <w:szCs w:val="20"/>
                <w:lang w:eastAsia="en-GB"/>
              </w:rPr>
              <w:t>3</w:t>
            </w:r>
          </w:p>
        </w:tc>
        <w:tc>
          <w:tcPr>
            <w:tcW w:w="1701" w:type="dxa"/>
            <w:shd w:val="clear" w:color="auto" w:fill="auto"/>
            <w:vAlign w:val="center"/>
            <w:hideMark/>
          </w:tcPr>
          <w:p w:rsidR="002265C1" w:rsidRPr="002265C1" w:rsidRDefault="002265C1" w:rsidP="002265C1">
            <w:pPr>
              <w:spacing w:before="60" w:after="60" w:line="240" w:lineRule="auto"/>
              <w:jc w:val="center"/>
              <w:rPr>
                <w:rFonts w:ascii="Arial" w:eastAsia="Times New Roman" w:hAnsi="Arial" w:cs="Arial"/>
                <w:color w:val="0000CC"/>
                <w:sz w:val="20"/>
                <w:szCs w:val="20"/>
                <w:lang w:eastAsia="en-GB"/>
              </w:rPr>
            </w:pPr>
          </w:p>
        </w:tc>
        <w:tc>
          <w:tcPr>
            <w:tcW w:w="2613" w:type="dxa"/>
            <w:shd w:val="clear" w:color="auto" w:fill="auto"/>
            <w:vAlign w:val="center"/>
            <w:hideMark/>
          </w:tcPr>
          <w:p w:rsidR="002265C1" w:rsidRPr="002265C1" w:rsidRDefault="002265C1" w:rsidP="002265C1">
            <w:pPr>
              <w:spacing w:before="60" w:after="60" w:line="240" w:lineRule="auto"/>
              <w:rPr>
                <w:rFonts w:ascii="Arial" w:eastAsia="Times New Roman" w:hAnsi="Arial" w:cs="Arial"/>
                <w:sz w:val="20"/>
                <w:szCs w:val="20"/>
                <w:lang w:eastAsia="en-GB"/>
              </w:rPr>
            </w:pPr>
          </w:p>
        </w:tc>
      </w:tr>
      <w:tr w:rsidR="002265C1" w:rsidRPr="002265C1" w:rsidTr="00AB3885">
        <w:trPr>
          <w:trHeight w:val="255"/>
        </w:trPr>
        <w:tc>
          <w:tcPr>
            <w:tcW w:w="0" w:type="auto"/>
            <w:shd w:val="clear" w:color="auto" w:fill="auto"/>
            <w:vAlign w:val="center"/>
            <w:hideMark/>
          </w:tcPr>
          <w:p w:rsidR="002265C1" w:rsidRPr="002265C1" w:rsidRDefault="002265C1" w:rsidP="002265C1">
            <w:pPr>
              <w:spacing w:before="60" w:after="60" w:line="240" w:lineRule="auto"/>
              <w:ind w:left="57"/>
              <w:rPr>
                <w:rFonts w:ascii="Arial" w:eastAsia="Times New Roman" w:hAnsi="Arial" w:cs="Arial"/>
                <w:sz w:val="20"/>
                <w:szCs w:val="20"/>
                <w:lang w:eastAsia="en-GB"/>
              </w:rPr>
            </w:pPr>
            <w:r w:rsidRPr="002265C1">
              <w:rPr>
                <w:rFonts w:ascii="Arial" w:eastAsia="Times New Roman" w:hAnsi="Arial" w:cs="Arial"/>
                <w:sz w:val="20"/>
                <w:szCs w:val="20"/>
                <w:lang w:eastAsia="en-GB"/>
              </w:rPr>
              <w:t>Design complexity</w:t>
            </w:r>
          </w:p>
        </w:tc>
        <w:tc>
          <w:tcPr>
            <w:tcW w:w="1363" w:type="dxa"/>
            <w:shd w:val="clear" w:color="auto" w:fill="auto"/>
            <w:vAlign w:val="center"/>
            <w:hideMark/>
          </w:tcPr>
          <w:p w:rsidR="002265C1" w:rsidRPr="002265C1" w:rsidRDefault="002265C1" w:rsidP="002265C1">
            <w:pPr>
              <w:spacing w:before="60" w:after="60" w:line="240" w:lineRule="auto"/>
              <w:jc w:val="center"/>
              <w:rPr>
                <w:rFonts w:ascii="Arial" w:eastAsia="Times New Roman" w:hAnsi="Arial" w:cs="Arial"/>
                <w:sz w:val="20"/>
                <w:szCs w:val="20"/>
                <w:lang w:eastAsia="en-GB"/>
              </w:rPr>
            </w:pPr>
            <w:r w:rsidRPr="002265C1">
              <w:rPr>
                <w:rFonts w:ascii="Arial" w:eastAsia="Times New Roman" w:hAnsi="Arial" w:cs="Arial"/>
                <w:sz w:val="20"/>
                <w:szCs w:val="20"/>
                <w:lang w:eastAsia="en-GB"/>
              </w:rPr>
              <w:t>4</w:t>
            </w:r>
          </w:p>
        </w:tc>
        <w:tc>
          <w:tcPr>
            <w:tcW w:w="1701" w:type="dxa"/>
            <w:shd w:val="clear" w:color="auto" w:fill="auto"/>
            <w:vAlign w:val="center"/>
            <w:hideMark/>
          </w:tcPr>
          <w:p w:rsidR="002265C1" w:rsidRPr="002265C1" w:rsidRDefault="002265C1" w:rsidP="002265C1">
            <w:pPr>
              <w:spacing w:before="60" w:after="60" w:line="240" w:lineRule="auto"/>
              <w:jc w:val="center"/>
              <w:rPr>
                <w:rFonts w:ascii="Arial" w:eastAsia="Times New Roman" w:hAnsi="Arial" w:cs="Arial"/>
                <w:color w:val="0000CC"/>
                <w:sz w:val="20"/>
                <w:szCs w:val="20"/>
                <w:lang w:eastAsia="en-GB"/>
              </w:rPr>
            </w:pPr>
          </w:p>
        </w:tc>
        <w:tc>
          <w:tcPr>
            <w:tcW w:w="2613" w:type="dxa"/>
            <w:shd w:val="clear" w:color="auto" w:fill="auto"/>
            <w:vAlign w:val="center"/>
            <w:hideMark/>
          </w:tcPr>
          <w:p w:rsidR="002265C1" w:rsidRPr="002265C1" w:rsidRDefault="002265C1" w:rsidP="002265C1">
            <w:pPr>
              <w:spacing w:before="60" w:after="60" w:line="240" w:lineRule="auto"/>
              <w:rPr>
                <w:rFonts w:ascii="Arial" w:eastAsia="Times New Roman" w:hAnsi="Arial" w:cs="Arial"/>
                <w:sz w:val="20"/>
                <w:szCs w:val="20"/>
                <w:lang w:eastAsia="en-GB"/>
              </w:rPr>
            </w:pPr>
          </w:p>
        </w:tc>
      </w:tr>
      <w:tr w:rsidR="002265C1" w:rsidRPr="002265C1" w:rsidTr="00AB3885">
        <w:trPr>
          <w:trHeight w:val="255"/>
        </w:trPr>
        <w:tc>
          <w:tcPr>
            <w:tcW w:w="0" w:type="auto"/>
            <w:shd w:val="clear" w:color="auto" w:fill="auto"/>
            <w:vAlign w:val="center"/>
            <w:hideMark/>
          </w:tcPr>
          <w:p w:rsidR="002265C1" w:rsidRPr="002265C1" w:rsidRDefault="002265C1" w:rsidP="002265C1">
            <w:pPr>
              <w:spacing w:before="60" w:after="60" w:line="240" w:lineRule="auto"/>
              <w:ind w:left="57"/>
              <w:rPr>
                <w:rFonts w:ascii="Arial" w:eastAsia="Times New Roman" w:hAnsi="Arial" w:cs="Arial"/>
                <w:sz w:val="20"/>
                <w:szCs w:val="20"/>
                <w:lang w:eastAsia="en-GB"/>
              </w:rPr>
            </w:pPr>
            <w:r w:rsidRPr="002265C1">
              <w:rPr>
                <w:rFonts w:ascii="Arial" w:eastAsia="Times New Roman" w:hAnsi="Arial" w:cs="Arial"/>
                <w:sz w:val="20"/>
                <w:szCs w:val="20"/>
                <w:lang w:eastAsia="en-GB"/>
              </w:rPr>
              <w:t>Likely variations from Standard Contract</w:t>
            </w:r>
          </w:p>
        </w:tc>
        <w:tc>
          <w:tcPr>
            <w:tcW w:w="1363" w:type="dxa"/>
            <w:shd w:val="clear" w:color="auto" w:fill="auto"/>
            <w:vAlign w:val="center"/>
            <w:hideMark/>
          </w:tcPr>
          <w:p w:rsidR="002265C1" w:rsidRPr="002265C1" w:rsidRDefault="002265C1" w:rsidP="002265C1">
            <w:pPr>
              <w:spacing w:before="60" w:after="60" w:line="240" w:lineRule="auto"/>
              <w:jc w:val="center"/>
              <w:rPr>
                <w:rFonts w:ascii="Arial" w:eastAsia="Times New Roman" w:hAnsi="Arial" w:cs="Arial"/>
                <w:sz w:val="20"/>
                <w:szCs w:val="20"/>
                <w:lang w:eastAsia="en-GB"/>
              </w:rPr>
            </w:pPr>
            <w:r w:rsidRPr="002265C1">
              <w:rPr>
                <w:rFonts w:ascii="Arial" w:eastAsia="Times New Roman" w:hAnsi="Arial" w:cs="Arial"/>
                <w:sz w:val="20"/>
                <w:szCs w:val="20"/>
                <w:lang w:eastAsia="en-GB"/>
              </w:rPr>
              <w:t>2</w:t>
            </w:r>
          </w:p>
        </w:tc>
        <w:tc>
          <w:tcPr>
            <w:tcW w:w="1701" w:type="dxa"/>
            <w:shd w:val="clear" w:color="auto" w:fill="auto"/>
            <w:vAlign w:val="center"/>
            <w:hideMark/>
          </w:tcPr>
          <w:p w:rsidR="002265C1" w:rsidRPr="002265C1" w:rsidRDefault="002265C1" w:rsidP="002265C1">
            <w:pPr>
              <w:spacing w:before="60" w:after="60" w:line="240" w:lineRule="auto"/>
              <w:jc w:val="center"/>
              <w:rPr>
                <w:rFonts w:ascii="Arial" w:eastAsia="Times New Roman" w:hAnsi="Arial" w:cs="Arial"/>
                <w:color w:val="0000CC"/>
                <w:sz w:val="20"/>
                <w:szCs w:val="20"/>
                <w:lang w:eastAsia="en-GB"/>
              </w:rPr>
            </w:pPr>
          </w:p>
        </w:tc>
        <w:tc>
          <w:tcPr>
            <w:tcW w:w="2613" w:type="dxa"/>
            <w:shd w:val="clear" w:color="auto" w:fill="auto"/>
            <w:vAlign w:val="center"/>
            <w:hideMark/>
          </w:tcPr>
          <w:p w:rsidR="002265C1" w:rsidRPr="002265C1" w:rsidRDefault="002265C1" w:rsidP="002265C1">
            <w:pPr>
              <w:spacing w:before="60" w:after="60" w:line="240" w:lineRule="auto"/>
              <w:rPr>
                <w:rFonts w:ascii="Arial" w:eastAsia="Times New Roman" w:hAnsi="Arial" w:cs="Arial"/>
                <w:sz w:val="20"/>
                <w:szCs w:val="20"/>
                <w:lang w:eastAsia="en-GB"/>
              </w:rPr>
            </w:pPr>
          </w:p>
        </w:tc>
      </w:tr>
      <w:tr w:rsidR="002265C1" w:rsidRPr="002265C1" w:rsidTr="00AB3885">
        <w:trPr>
          <w:trHeight w:val="255"/>
        </w:trPr>
        <w:tc>
          <w:tcPr>
            <w:tcW w:w="0" w:type="auto"/>
            <w:shd w:val="clear" w:color="auto" w:fill="auto"/>
            <w:vAlign w:val="center"/>
            <w:hideMark/>
          </w:tcPr>
          <w:p w:rsidR="002265C1" w:rsidRPr="002265C1" w:rsidRDefault="002265C1" w:rsidP="002265C1">
            <w:pPr>
              <w:spacing w:before="60" w:after="60" w:line="240" w:lineRule="auto"/>
              <w:ind w:left="57"/>
              <w:rPr>
                <w:rFonts w:ascii="Arial" w:eastAsia="Times New Roman" w:hAnsi="Arial" w:cs="Arial"/>
                <w:sz w:val="20"/>
                <w:szCs w:val="20"/>
                <w:lang w:eastAsia="en-GB"/>
              </w:rPr>
            </w:pPr>
            <w:r w:rsidRPr="002265C1">
              <w:rPr>
                <w:rFonts w:ascii="Arial" w:eastAsia="Times New Roman" w:hAnsi="Arial" w:cs="Arial"/>
                <w:sz w:val="20"/>
                <w:szCs w:val="20"/>
                <w:lang w:eastAsia="en-GB"/>
              </w:rPr>
              <w:t>Design Team capabilities</w:t>
            </w:r>
          </w:p>
        </w:tc>
        <w:tc>
          <w:tcPr>
            <w:tcW w:w="1363" w:type="dxa"/>
            <w:shd w:val="clear" w:color="auto" w:fill="auto"/>
            <w:vAlign w:val="center"/>
            <w:hideMark/>
          </w:tcPr>
          <w:p w:rsidR="002265C1" w:rsidRPr="002265C1" w:rsidRDefault="002265C1" w:rsidP="002265C1">
            <w:pPr>
              <w:spacing w:before="60" w:after="60" w:line="240" w:lineRule="auto"/>
              <w:jc w:val="center"/>
              <w:rPr>
                <w:rFonts w:ascii="Arial" w:eastAsia="Times New Roman" w:hAnsi="Arial" w:cs="Arial"/>
                <w:sz w:val="20"/>
                <w:szCs w:val="20"/>
                <w:lang w:eastAsia="en-GB"/>
              </w:rPr>
            </w:pPr>
            <w:r w:rsidRPr="002265C1">
              <w:rPr>
                <w:rFonts w:ascii="Arial" w:eastAsia="Times New Roman" w:hAnsi="Arial" w:cs="Arial"/>
                <w:sz w:val="20"/>
                <w:szCs w:val="20"/>
                <w:lang w:eastAsia="en-GB"/>
              </w:rPr>
              <w:t>3</w:t>
            </w:r>
          </w:p>
        </w:tc>
        <w:tc>
          <w:tcPr>
            <w:tcW w:w="1701" w:type="dxa"/>
            <w:shd w:val="clear" w:color="auto" w:fill="auto"/>
            <w:vAlign w:val="center"/>
            <w:hideMark/>
          </w:tcPr>
          <w:p w:rsidR="002265C1" w:rsidRPr="002265C1" w:rsidRDefault="002265C1" w:rsidP="002265C1">
            <w:pPr>
              <w:spacing w:before="60" w:after="60" w:line="240" w:lineRule="auto"/>
              <w:jc w:val="center"/>
              <w:rPr>
                <w:rFonts w:ascii="Arial" w:eastAsia="Times New Roman" w:hAnsi="Arial" w:cs="Arial"/>
                <w:color w:val="0000CC"/>
                <w:sz w:val="20"/>
                <w:szCs w:val="20"/>
                <w:lang w:eastAsia="en-GB"/>
              </w:rPr>
            </w:pPr>
          </w:p>
        </w:tc>
        <w:tc>
          <w:tcPr>
            <w:tcW w:w="2613" w:type="dxa"/>
            <w:shd w:val="clear" w:color="auto" w:fill="auto"/>
            <w:vAlign w:val="center"/>
            <w:hideMark/>
          </w:tcPr>
          <w:p w:rsidR="002265C1" w:rsidRPr="002265C1" w:rsidRDefault="002265C1" w:rsidP="002265C1">
            <w:pPr>
              <w:spacing w:before="60" w:after="60" w:line="240" w:lineRule="auto"/>
              <w:rPr>
                <w:rFonts w:ascii="Arial" w:eastAsia="Times New Roman" w:hAnsi="Arial" w:cs="Arial"/>
                <w:sz w:val="20"/>
                <w:szCs w:val="20"/>
                <w:lang w:eastAsia="en-GB"/>
              </w:rPr>
            </w:pPr>
          </w:p>
        </w:tc>
      </w:tr>
      <w:tr w:rsidR="002265C1" w:rsidRPr="002265C1" w:rsidTr="00AB3885">
        <w:trPr>
          <w:trHeight w:val="255"/>
        </w:trPr>
        <w:tc>
          <w:tcPr>
            <w:tcW w:w="0" w:type="auto"/>
            <w:shd w:val="clear" w:color="auto" w:fill="auto"/>
            <w:vAlign w:val="center"/>
            <w:hideMark/>
          </w:tcPr>
          <w:p w:rsidR="002265C1" w:rsidRPr="002265C1" w:rsidRDefault="002265C1" w:rsidP="002265C1">
            <w:pPr>
              <w:spacing w:before="60" w:after="60" w:line="240" w:lineRule="auto"/>
              <w:ind w:left="57"/>
              <w:rPr>
                <w:rFonts w:ascii="Arial" w:eastAsia="Times New Roman" w:hAnsi="Arial" w:cs="Arial"/>
                <w:sz w:val="20"/>
                <w:szCs w:val="20"/>
                <w:lang w:eastAsia="en-GB"/>
              </w:rPr>
            </w:pPr>
            <w:r w:rsidRPr="002265C1">
              <w:rPr>
                <w:rFonts w:ascii="Arial" w:eastAsia="Times New Roman" w:hAnsi="Arial" w:cs="Arial"/>
                <w:sz w:val="20"/>
                <w:szCs w:val="20"/>
                <w:lang w:eastAsia="en-GB"/>
              </w:rPr>
              <w:t>Contractors’ capabilities (excluding design team covered above)</w:t>
            </w:r>
          </w:p>
        </w:tc>
        <w:tc>
          <w:tcPr>
            <w:tcW w:w="1363" w:type="dxa"/>
            <w:shd w:val="clear" w:color="auto" w:fill="auto"/>
            <w:vAlign w:val="center"/>
            <w:hideMark/>
          </w:tcPr>
          <w:p w:rsidR="002265C1" w:rsidRPr="002265C1" w:rsidRDefault="002265C1" w:rsidP="002265C1">
            <w:pPr>
              <w:spacing w:before="60" w:after="60" w:line="240" w:lineRule="auto"/>
              <w:jc w:val="center"/>
              <w:rPr>
                <w:rFonts w:ascii="Arial" w:eastAsia="Times New Roman" w:hAnsi="Arial" w:cs="Arial"/>
                <w:sz w:val="20"/>
                <w:szCs w:val="20"/>
                <w:lang w:eastAsia="en-GB"/>
              </w:rPr>
            </w:pPr>
            <w:r w:rsidRPr="002265C1">
              <w:rPr>
                <w:rFonts w:ascii="Arial" w:eastAsia="Times New Roman" w:hAnsi="Arial" w:cs="Arial"/>
                <w:sz w:val="20"/>
                <w:szCs w:val="20"/>
                <w:lang w:eastAsia="en-GB"/>
              </w:rPr>
              <w:t>2</w:t>
            </w:r>
          </w:p>
        </w:tc>
        <w:tc>
          <w:tcPr>
            <w:tcW w:w="1701" w:type="dxa"/>
            <w:shd w:val="clear" w:color="auto" w:fill="auto"/>
            <w:vAlign w:val="center"/>
            <w:hideMark/>
          </w:tcPr>
          <w:p w:rsidR="002265C1" w:rsidRPr="002265C1" w:rsidRDefault="002265C1" w:rsidP="002265C1">
            <w:pPr>
              <w:spacing w:before="60" w:after="60" w:line="240" w:lineRule="auto"/>
              <w:jc w:val="center"/>
              <w:rPr>
                <w:rFonts w:ascii="Arial" w:eastAsia="Times New Roman" w:hAnsi="Arial" w:cs="Arial"/>
                <w:color w:val="0000CC"/>
                <w:sz w:val="20"/>
                <w:szCs w:val="20"/>
                <w:lang w:eastAsia="en-GB"/>
              </w:rPr>
            </w:pPr>
          </w:p>
        </w:tc>
        <w:tc>
          <w:tcPr>
            <w:tcW w:w="2613" w:type="dxa"/>
            <w:shd w:val="clear" w:color="auto" w:fill="auto"/>
            <w:vAlign w:val="center"/>
            <w:hideMark/>
          </w:tcPr>
          <w:p w:rsidR="002265C1" w:rsidRPr="002265C1" w:rsidRDefault="002265C1" w:rsidP="002265C1">
            <w:pPr>
              <w:spacing w:before="60" w:after="60" w:line="240" w:lineRule="auto"/>
              <w:rPr>
                <w:rFonts w:ascii="Arial" w:eastAsia="Times New Roman" w:hAnsi="Arial" w:cs="Arial"/>
                <w:sz w:val="20"/>
                <w:szCs w:val="20"/>
                <w:lang w:eastAsia="en-GB"/>
              </w:rPr>
            </w:pPr>
          </w:p>
        </w:tc>
      </w:tr>
      <w:tr w:rsidR="002265C1" w:rsidRPr="002265C1" w:rsidTr="00AB3885">
        <w:trPr>
          <w:trHeight w:val="255"/>
        </w:trPr>
        <w:tc>
          <w:tcPr>
            <w:tcW w:w="0" w:type="auto"/>
            <w:shd w:val="clear" w:color="auto" w:fill="auto"/>
            <w:vAlign w:val="center"/>
            <w:hideMark/>
          </w:tcPr>
          <w:p w:rsidR="002265C1" w:rsidRPr="002265C1" w:rsidRDefault="002265C1" w:rsidP="002265C1">
            <w:pPr>
              <w:spacing w:before="60" w:after="60" w:line="240" w:lineRule="auto"/>
              <w:ind w:left="57"/>
              <w:rPr>
                <w:rFonts w:ascii="Arial" w:eastAsia="Times New Roman" w:hAnsi="Arial" w:cs="Arial"/>
                <w:sz w:val="20"/>
                <w:szCs w:val="20"/>
                <w:lang w:eastAsia="en-GB"/>
              </w:rPr>
            </w:pPr>
            <w:r w:rsidRPr="002265C1">
              <w:rPr>
                <w:rFonts w:ascii="Arial" w:eastAsia="Times New Roman" w:hAnsi="Arial" w:cs="Arial"/>
                <w:sz w:val="20"/>
                <w:szCs w:val="20"/>
                <w:lang w:eastAsia="en-GB"/>
              </w:rPr>
              <w:t>Contractor Involvement</w:t>
            </w:r>
          </w:p>
        </w:tc>
        <w:tc>
          <w:tcPr>
            <w:tcW w:w="1363" w:type="dxa"/>
            <w:shd w:val="clear" w:color="auto" w:fill="auto"/>
            <w:vAlign w:val="center"/>
            <w:hideMark/>
          </w:tcPr>
          <w:p w:rsidR="002265C1" w:rsidRPr="002265C1" w:rsidRDefault="002265C1" w:rsidP="002265C1">
            <w:pPr>
              <w:spacing w:before="60" w:after="60" w:line="240" w:lineRule="auto"/>
              <w:jc w:val="center"/>
              <w:rPr>
                <w:rFonts w:ascii="Arial" w:eastAsia="Times New Roman" w:hAnsi="Arial" w:cs="Arial"/>
                <w:sz w:val="20"/>
                <w:szCs w:val="20"/>
                <w:lang w:eastAsia="en-GB"/>
              </w:rPr>
            </w:pPr>
            <w:r w:rsidRPr="002265C1">
              <w:rPr>
                <w:rFonts w:ascii="Arial" w:eastAsia="Times New Roman" w:hAnsi="Arial" w:cs="Arial"/>
                <w:sz w:val="20"/>
                <w:szCs w:val="20"/>
                <w:lang w:eastAsia="en-GB"/>
              </w:rPr>
              <w:t>2</w:t>
            </w:r>
          </w:p>
        </w:tc>
        <w:tc>
          <w:tcPr>
            <w:tcW w:w="1701" w:type="dxa"/>
            <w:shd w:val="clear" w:color="auto" w:fill="auto"/>
            <w:vAlign w:val="center"/>
            <w:hideMark/>
          </w:tcPr>
          <w:p w:rsidR="002265C1" w:rsidRPr="002265C1" w:rsidRDefault="002265C1" w:rsidP="002265C1">
            <w:pPr>
              <w:spacing w:before="60" w:after="60" w:line="240" w:lineRule="auto"/>
              <w:jc w:val="center"/>
              <w:rPr>
                <w:rFonts w:ascii="Arial" w:eastAsia="Times New Roman" w:hAnsi="Arial" w:cs="Arial"/>
                <w:color w:val="0000CC"/>
                <w:sz w:val="20"/>
                <w:szCs w:val="20"/>
                <w:lang w:eastAsia="en-GB"/>
              </w:rPr>
            </w:pPr>
          </w:p>
        </w:tc>
        <w:tc>
          <w:tcPr>
            <w:tcW w:w="2613" w:type="dxa"/>
            <w:shd w:val="clear" w:color="auto" w:fill="auto"/>
            <w:vAlign w:val="center"/>
            <w:hideMark/>
          </w:tcPr>
          <w:p w:rsidR="002265C1" w:rsidRPr="002265C1" w:rsidRDefault="002265C1" w:rsidP="002265C1">
            <w:pPr>
              <w:spacing w:before="60" w:after="60" w:line="240" w:lineRule="auto"/>
              <w:rPr>
                <w:rFonts w:ascii="Arial" w:eastAsia="Times New Roman" w:hAnsi="Arial" w:cs="Arial"/>
                <w:sz w:val="20"/>
                <w:szCs w:val="20"/>
                <w:lang w:eastAsia="en-GB"/>
              </w:rPr>
            </w:pPr>
          </w:p>
        </w:tc>
      </w:tr>
      <w:tr w:rsidR="002265C1" w:rsidRPr="002265C1" w:rsidTr="00AB3885">
        <w:trPr>
          <w:trHeight w:val="255"/>
        </w:trPr>
        <w:tc>
          <w:tcPr>
            <w:tcW w:w="0" w:type="auto"/>
            <w:vAlign w:val="center"/>
            <w:hideMark/>
          </w:tcPr>
          <w:p w:rsidR="002265C1" w:rsidRPr="002265C1" w:rsidRDefault="002265C1" w:rsidP="002265C1">
            <w:pPr>
              <w:spacing w:before="60" w:after="60" w:line="240" w:lineRule="auto"/>
              <w:ind w:left="57"/>
              <w:rPr>
                <w:rFonts w:ascii="Arial" w:eastAsia="Times New Roman" w:hAnsi="Arial" w:cs="Arial"/>
                <w:sz w:val="20"/>
                <w:szCs w:val="20"/>
                <w:lang w:eastAsia="en-GB"/>
              </w:rPr>
            </w:pPr>
            <w:r w:rsidRPr="002265C1">
              <w:rPr>
                <w:rFonts w:ascii="Arial" w:eastAsia="Times New Roman" w:hAnsi="Arial" w:cs="Arial"/>
                <w:sz w:val="20"/>
                <w:szCs w:val="20"/>
                <w:lang w:eastAsia="en-GB"/>
              </w:rPr>
              <w:t>Client capability and capacity (NB do not double count with design team capabilities)</w:t>
            </w:r>
          </w:p>
        </w:tc>
        <w:tc>
          <w:tcPr>
            <w:tcW w:w="1363" w:type="dxa"/>
            <w:vAlign w:val="center"/>
            <w:hideMark/>
          </w:tcPr>
          <w:p w:rsidR="002265C1" w:rsidRPr="002265C1" w:rsidRDefault="002265C1" w:rsidP="002265C1">
            <w:pPr>
              <w:spacing w:before="60" w:after="60" w:line="240" w:lineRule="auto"/>
              <w:jc w:val="center"/>
              <w:rPr>
                <w:rFonts w:ascii="Arial" w:eastAsia="Times New Roman" w:hAnsi="Arial" w:cs="Arial"/>
                <w:sz w:val="20"/>
                <w:szCs w:val="20"/>
                <w:lang w:eastAsia="en-GB"/>
              </w:rPr>
            </w:pPr>
            <w:r w:rsidRPr="002265C1">
              <w:rPr>
                <w:rFonts w:ascii="Arial" w:eastAsia="Times New Roman" w:hAnsi="Arial" w:cs="Arial"/>
                <w:sz w:val="20"/>
                <w:szCs w:val="20"/>
                <w:lang w:eastAsia="en-GB"/>
              </w:rPr>
              <w:t>6</w:t>
            </w:r>
          </w:p>
        </w:tc>
        <w:tc>
          <w:tcPr>
            <w:tcW w:w="1701" w:type="dxa"/>
            <w:vAlign w:val="center"/>
            <w:hideMark/>
          </w:tcPr>
          <w:p w:rsidR="002265C1" w:rsidRPr="002265C1" w:rsidRDefault="002265C1" w:rsidP="002265C1">
            <w:pPr>
              <w:spacing w:before="60" w:after="60" w:line="240" w:lineRule="auto"/>
              <w:jc w:val="center"/>
              <w:rPr>
                <w:rFonts w:ascii="Arial" w:eastAsia="Times New Roman" w:hAnsi="Arial" w:cs="Arial"/>
                <w:color w:val="0000CC"/>
                <w:sz w:val="20"/>
                <w:szCs w:val="20"/>
                <w:lang w:eastAsia="en-GB"/>
              </w:rPr>
            </w:pPr>
          </w:p>
        </w:tc>
        <w:tc>
          <w:tcPr>
            <w:tcW w:w="2613" w:type="dxa"/>
            <w:vAlign w:val="center"/>
            <w:hideMark/>
          </w:tcPr>
          <w:p w:rsidR="002265C1" w:rsidRPr="002265C1" w:rsidRDefault="002265C1" w:rsidP="002265C1">
            <w:pPr>
              <w:spacing w:before="60" w:after="60" w:line="240" w:lineRule="auto"/>
              <w:rPr>
                <w:rFonts w:ascii="Arial" w:eastAsia="Times New Roman" w:hAnsi="Arial" w:cs="Arial"/>
                <w:sz w:val="20"/>
                <w:szCs w:val="20"/>
                <w:lang w:eastAsia="en-GB"/>
              </w:rPr>
            </w:pPr>
          </w:p>
        </w:tc>
      </w:tr>
      <w:tr w:rsidR="002265C1" w:rsidRPr="002265C1" w:rsidTr="00AB3885">
        <w:trPr>
          <w:trHeight w:val="255"/>
        </w:trPr>
        <w:tc>
          <w:tcPr>
            <w:tcW w:w="0" w:type="auto"/>
            <w:vAlign w:val="center"/>
            <w:hideMark/>
          </w:tcPr>
          <w:p w:rsidR="002265C1" w:rsidRPr="002265C1" w:rsidRDefault="002265C1" w:rsidP="002265C1">
            <w:pPr>
              <w:spacing w:before="60" w:after="60" w:line="240" w:lineRule="auto"/>
              <w:ind w:left="57"/>
              <w:rPr>
                <w:rFonts w:ascii="Arial" w:eastAsia="Times New Roman" w:hAnsi="Arial" w:cs="Arial"/>
                <w:sz w:val="20"/>
                <w:szCs w:val="20"/>
                <w:lang w:eastAsia="en-GB"/>
              </w:rPr>
            </w:pPr>
            <w:r w:rsidRPr="002265C1">
              <w:rPr>
                <w:rFonts w:ascii="Arial" w:eastAsia="Times New Roman" w:hAnsi="Arial" w:cs="Arial"/>
                <w:sz w:val="20"/>
                <w:szCs w:val="20"/>
                <w:lang w:eastAsia="en-GB"/>
              </w:rPr>
              <w:t>Robustness of Output Specification</w:t>
            </w:r>
            <w:r w:rsidR="00AB3885">
              <w:rPr>
                <w:rFonts w:ascii="Arial" w:eastAsia="Times New Roman" w:hAnsi="Arial" w:cs="Arial"/>
                <w:sz w:val="20"/>
                <w:szCs w:val="20"/>
                <w:lang w:eastAsia="en-GB"/>
              </w:rPr>
              <w:t xml:space="preserve"> / project brief</w:t>
            </w:r>
          </w:p>
        </w:tc>
        <w:tc>
          <w:tcPr>
            <w:tcW w:w="1363" w:type="dxa"/>
            <w:vAlign w:val="center"/>
            <w:hideMark/>
          </w:tcPr>
          <w:p w:rsidR="002265C1" w:rsidRPr="002265C1" w:rsidRDefault="002265C1" w:rsidP="002265C1">
            <w:pPr>
              <w:spacing w:before="60" w:after="60" w:line="240" w:lineRule="auto"/>
              <w:jc w:val="center"/>
              <w:rPr>
                <w:rFonts w:ascii="Arial" w:eastAsia="Times New Roman" w:hAnsi="Arial" w:cs="Arial"/>
                <w:sz w:val="20"/>
                <w:szCs w:val="20"/>
                <w:lang w:eastAsia="en-GB"/>
              </w:rPr>
            </w:pPr>
            <w:r w:rsidRPr="002265C1">
              <w:rPr>
                <w:rFonts w:ascii="Arial" w:eastAsia="Times New Roman" w:hAnsi="Arial" w:cs="Arial"/>
                <w:sz w:val="20"/>
                <w:szCs w:val="20"/>
                <w:lang w:eastAsia="en-GB"/>
              </w:rPr>
              <w:t>25</w:t>
            </w:r>
          </w:p>
        </w:tc>
        <w:tc>
          <w:tcPr>
            <w:tcW w:w="1701" w:type="dxa"/>
            <w:vAlign w:val="center"/>
            <w:hideMark/>
          </w:tcPr>
          <w:p w:rsidR="002265C1" w:rsidRPr="002265C1" w:rsidRDefault="002265C1" w:rsidP="002265C1">
            <w:pPr>
              <w:spacing w:before="60" w:after="60" w:line="240" w:lineRule="auto"/>
              <w:jc w:val="center"/>
              <w:rPr>
                <w:rFonts w:ascii="Arial" w:eastAsia="Times New Roman" w:hAnsi="Arial" w:cs="Arial"/>
                <w:color w:val="0000CC"/>
                <w:sz w:val="20"/>
                <w:szCs w:val="20"/>
                <w:lang w:eastAsia="en-GB"/>
              </w:rPr>
            </w:pPr>
          </w:p>
        </w:tc>
        <w:tc>
          <w:tcPr>
            <w:tcW w:w="2613" w:type="dxa"/>
            <w:vAlign w:val="center"/>
            <w:hideMark/>
          </w:tcPr>
          <w:p w:rsidR="002265C1" w:rsidRPr="002265C1" w:rsidRDefault="002265C1" w:rsidP="002265C1">
            <w:pPr>
              <w:spacing w:before="60" w:after="60" w:line="240" w:lineRule="auto"/>
              <w:rPr>
                <w:rFonts w:ascii="Arial" w:eastAsia="Times New Roman" w:hAnsi="Arial" w:cs="Arial"/>
                <w:sz w:val="20"/>
                <w:szCs w:val="20"/>
                <w:lang w:eastAsia="en-GB"/>
              </w:rPr>
            </w:pPr>
          </w:p>
        </w:tc>
      </w:tr>
      <w:tr w:rsidR="002265C1" w:rsidRPr="002265C1" w:rsidTr="00AB3885">
        <w:trPr>
          <w:trHeight w:val="255"/>
        </w:trPr>
        <w:tc>
          <w:tcPr>
            <w:tcW w:w="0" w:type="auto"/>
            <w:vAlign w:val="center"/>
            <w:hideMark/>
          </w:tcPr>
          <w:p w:rsidR="002265C1" w:rsidRPr="002265C1" w:rsidRDefault="002265C1" w:rsidP="002265C1">
            <w:pPr>
              <w:spacing w:before="60" w:after="60" w:line="240" w:lineRule="auto"/>
              <w:ind w:left="57"/>
              <w:rPr>
                <w:rFonts w:ascii="Arial" w:eastAsia="Times New Roman" w:hAnsi="Arial" w:cs="Arial"/>
                <w:sz w:val="20"/>
                <w:szCs w:val="20"/>
                <w:lang w:eastAsia="en-GB"/>
              </w:rPr>
            </w:pPr>
            <w:r w:rsidRPr="002265C1">
              <w:rPr>
                <w:rFonts w:ascii="Arial" w:eastAsia="Times New Roman" w:hAnsi="Arial" w:cs="Arial"/>
                <w:sz w:val="20"/>
                <w:szCs w:val="20"/>
                <w:lang w:eastAsia="en-GB"/>
              </w:rPr>
              <w:t>Involvement of Stakeholders, including Public and Patient Involvement</w:t>
            </w:r>
          </w:p>
        </w:tc>
        <w:tc>
          <w:tcPr>
            <w:tcW w:w="1363" w:type="dxa"/>
            <w:vAlign w:val="center"/>
            <w:hideMark/>
          </w:tcPr>
          <w:p w:rsidR="002265C1" w:rsidRPr="002265C1" w:rsidRDefault="002265C1" w:rsidP="002265C1">
            <w:pPr>
              <w:spacing w:before="60" w:after="60" w:line="240" w:lineRule="auto"/>
              <w:jc w:val="center"/>
              <w:rPr>
                <w:rFonts w:ascii="Arial" w:eastAsia="Times New Roman" w:hAnsi="Arial" w:cs="Arial"/>
                <w:sz w:val="20"/>
                <w:szCs w:val="20"/>
                <w:lang w:eastAsia="en-GB"/>
              </w:rPr>
            </w:pPr>
            <w:r w:rsidRPr="002265C1">
              <w:rPr>
                <w:rFonts w:ascii="Arial" w:eastAsia="Times New Roman" w:hAnsi="Arial" w:cs="Arial"/>
                <w:sz w:val="20"/>
                <w:szCs w:val="20"/>
                <w:lang w:eastAsia="en-GB"/>
              </w:rPr>
              <w:t>5</w:t>
            </w:r>
          </w:p>
        </w:tc>
        <w:tc>
          <w:tcPr>
            <w:tcW w:w="1701" w:type="dxa"/>
            <w:vAlign w:val="center"/>
            <w:hideMark/>
          </w:tcPr>
          <w:p w:rsidR="002265C1" w:rsidRPr="002265C1" w:rsidRDefault="002265C1" w:rsidP="002265C1">
            <w:pPr>
              <w:spacing w:before="60" w:after="60" w:line="240" w:lineRule="auto"/>
              <w:jc w:val="center"/>
              <w:rPr>
                <w:rFonts w:ascii="Arial" w:eastAsia="Times New Roman" w:hAnsi="Arial" w:cs="Arial"/>
                <w:color w:val="0000CC"/>
                <w:sz w:val="20"/>
                <w:szCs w:val="20"/>
                <w:lang w:eastAsia="en-GB"/>
              </w:rPr>
            </w:pPr>
          </w:p>
        </w:tc>
        <w:tc>
          <w:tcPr>
            <w:tcW w:w="2613" w:type="dxa"/>
            <w:vAlign w:val="center"/>
            <w:hideMark/>
          </w:tcPr>
          <w:p w:rsidR="002265C1" w:rsidRPr="002265C1" w:rsidRDefault="002265C1" w:rsidP="002265C1">
            <w:pPr>
              <w:spacing w:before="60" w:after="60" w:line="240" w:lineRule="auto"/>
              <w:rPr>
                <w:rFonts w:ascii="Arial" w:eastAsia="Times New Roman" w:hAnsi="Arial" w:cs="Arial"/>
                <w:sz w:val="20"/>
                <w:szCs w:val="20"/>
                <w:lang w:eastAsia="en-GB"/>
              </w:rPr>
            </w:pPr>
          </w:p>
        </w:tc>
      </w:tr>
      <w:tr w:rsidR="002265C1" w:rsidRPr="002265C1" w:rsidTr="00AB3885">
        <w:trPr>
          <w:trHeight w:val="255"/>
        </w:trPr>
        <w:tc>
          <w:tcPr>
            <w:tcW w:w="0" w:type="auto"/>
            <w:vAlign w:val="center"/>
            <w:hideMark/>
          </w:tcPr>
          <w:p w:rsidR="002265C1" w:rsidRPr="002265C1" w:rsidRDefault="002265C1" w:rsidP="002265C1">
            <w:pPr>
              <w:spacing w:before="60" w:after="60" w:line="240" w:lineRule="auto"/>
              <w:ind w:left="57"/>
              <w:rPr>
                <w:rFonts w:ascii="Arial" w:eastAsia="Times New Roman" w:hAnsi="Arial" w:cs="Arial"/>
                <w:sz w:val="20"/>
                <w:szCs w:val="20"/>
                <w:lang w:eastAsia="en-GB"/>
              </w:rPr>
            </w:pPr>
            <w:r w:rsidRPr="002265C1">
              <w:rPr>
                <w:rFonts w:ascii="Arial" w:eastAsia="Times New Roman" w:hAnsi="Arial" w:cs="Arial"/>
                <w:sz w:val="20"/>
                <w:szCs w:val="20"/>
                <w:lang w:eastAsia="en-GB"/>
              </w:rPr>
              <w:t xml:space="preserve">Agreement to output specification </w:t>
            </w:r>
            <w:r w:rsidR="00AB3885">
              <w:rPr>
                <w:rFonts w:ascii="Arial" w:eastAsia="Times New Roman" w:hAnsi="Arial" w:cs="Arial"/>
                <w:sz w:val="20"/>
                <w:szCs w:val="20"/>
                <w:lang w:eastAsia="en-GB"/>
              </w:rPr>
              <w:t xml:space="preserve">/ project brief </w:t>
            </w:r>
            <w:r w:rsidRPr="002265C1">
              <w:rPr>
                <w:rFonts w:ascii="Arial" w:eastAsia="Times New Roman" w:hAnsi="Arial" w:cs="Arial"/>
                <w:sz w:val="20"/>
                <w:szCs w:val="20"/>
                <w:lang w:eastAsia="en-GB"/>
              </w:rPr>
              <w:t>by stakeholders</w:t>
            </w:r>
          </w:p>
        </w:tc>
        <w:tc>
          <w:tcPr>
            <w:tcW w:w="1363" w:type="dxa"/>
            <w:vAlign w:val="center"/>
            <w:hideMark/>
          </w:tcPr>
          <w:p w:rsidR="002265C1" w:rsidRPr="002265C1" w:rsidRDefault="002265C1" w:rsidP="002265C1">
            <w:pPr>
              <w:spacing w:before="60" w:after="60" w:line="240" w:lineRule="auto"/>
              <w:jc w:val="center"/>
              <w:rPr>
                <w:rFonts w:ascii="Arial" w:eastAsia="Times New Roman" w:hAnsi="Arial" w:cs="Arial"/>
                <w:sz w:val="20"/>
                <w:szCs w:val="20"/>
                <w:lang w:eastAsia="en-GB"/>
              </w:rPr>
            </w:pPr>
            <w:r w:rsidRPr="002265C1">
              <w:rPr>
                <w:rFonts w:ascii="Arial" w:eastAsia="Times New Roman" w:hAnsi="Arial" w:cs="Arial"/>
                <w:sz w:val="20"/>
                <w:szCs w:val="20"/>
                <w:lang w:eastAsia="en-GB"/>
              </w:rPr>
              <w:t>5</w:t>
            </w:r>
          </w:p>
        </w:tc>
        <w:tc>
          <w:tcPr>
            <w:tcW w:w="1701" w:type="dxa"/>
            <w:vAlign w:val="center"/>
            <w:hideMark/>
          </w:tcPr>
          <w:p w:rsidR="002265C1" w:rsidRPr="002265C1" w:rsidRDefault="002265C1" w:rsidP="002265C1">
            <w:pPr>
              <w:spacing w:before="60" w:after="60" w:line="240" w:lineRule="auto"/>
              <w:jc w:val="center"/>
              <w:rPr>
                <w:rFonts w:ascii="Arial" w:eastAsia="Times New Roman" w:hAnsi="Arial" w:cs="Arial"/>
                <w:color w:val="0000CC"/>
                <w:sz w:val="20"/>
                <w:szCs w:val="20"/>
                <w:lang w:eastAsia="en-GB"/>
              </w:rPr>
            </w:pPr>
          </w:p>
        </w:tc>
        <w:tc>
          <w:tcPr>
            <w:tcW w:w="2613" w:type="dxa"/>
            <w:vAlign w:val="center"/>
            <w:hideMark/>
          </w:tcPr>
          <w:p w:rsidR="002265C1" w:rsidRPr="002265C1" w:rsidRDefault="002265C1" w:rsidP="002265C1">
            <w:pPr>
              <w:spacing w:before="60" w:after="60" w:line="240" w:lineRule="auto"/>
              <w:rPr>
                <w:rFonts w:ascii="Arial" w:eastAsia="Times New Roman" w:hAnsi="Arial" w:cs="Arial"/>
                <w:sz w:val="20"/>
                <w:szCs w:val="20"/>
                <w:lang w:eastAsia="en-GB"/>
              </w:rPr>
            </w:pPr>
          </w:p>
        </w:tc>
      </w:tr>
      <w:tr w:rsidR="002265C1" w:rsidRPr="002265C1" w:rsidTr="00AB3885">
        <w:trPr>
          <w:trHeight w:val="255"/>
        </w:trPr>
        <w:tc>
          <w:tcPr>
            <w:tcW w:w="0" w:type="auto"/>
            <w:vAlign w:val="center"/>
            <w:hideMark/>
          </w:tcPr>
          <w:p w:rsidR="002265C1" w:rsidRPr="002265C1" w:rsidRDefault="002265C1" w:rsidP="002265C1">
            <w:pPr>
              <w:spacing w:before="60" w:after="60" w:line="240" w:lineRule="auto"/>
              <w:ind w:left="57"/>
              <w:rPr>
                <w:rFonts w:ascii="Arial" w:eastAsia="Times New Roman" w:hAnsi="Arial" w:cs="Arial"/>
                <w:sz w:val="20"/>
                <w:szCs w:val="20"/>
                <w:lang w:eastAsia="en-GB"/>
              </w:rPr>
            </w:pPr>
            <w:r w:rsidRPr="002265C1">
              <w:rPr>
                <w:rFonts w:ascii="Arial" w:eastAsia="Times New Roman" w:hAnsi="Arial" w:cs="Arial"/>
                <w:sz w:val="20"/>
                <w:szCs w:val="20"/>
                <w:lang w:eastAsia="en-GB"/>
              </w:rPr>
              <w:t>New service or traditional</w:t>
            </w:r>
          </w:p>
        </w:tc>
        <w:tc>
          <w:tcPr>
            <w:tcW w:w="1363" w:type="dxa"/>
            <w:vAlign w:val="center"/>
            <w:hideMark/>
          </w:tcPr>
          <w:p w:rsidR="002265C1" w:rsidRPr="002265C1" w:rsidRDefault="002265C1" w:rsidP="002265C1">
            <w:pPr>
              <w:spacing w:before="60" w:after="60" w:line="240" w:lineRule="auto"/>
              <w:jc w:val="center"/>
              <w:rPr>
                <w:rFonts w:ascii="Arial" w:eastAsia="Times New Roman" w:hAnsi="Arial" w:cs="Arial"/>
                <w:sz w:val="20"/>
                <w:szCs w:val="20"/>
                <w:lang w:eastAsia="en-GB"/>
              </w:rPr>
            </w:pPr>
            <w:r w:rsidRPr="002265C1">
              <w:rPr>
                <w:rFonts w:ascii="Arial" w:eastAsia="Times New Roman" w:hAnsi="Arial" w:cs="Arial"/>
                <w:sz w:val="20"/>
                <w:szCs w:val="20"/>
                <w:lang w:eastAsia="en-GB"/>
              </w:rPr>
              <w:t>3</w:t>
            </w:r>
          </w:p>
        </w:tc>
        <w:tc>
          <w:tcPr>
            <w:tcW w:w="1701" w:type="dxa"/>
            <w:vAlign w:val="center"/>
            <w:hideMark/>
          </w:tcPr>
          <w:p w:rsidR="002265C1" w:rsidRPr="002265C1" w:rsidRDefault="002265C1" w:rsidP="002265C1">
            <w:pPr>
              <w:spacing w:before="60" w:after="60" w:line="240" w:lineRule="auto"/>
              <w:jc w:val="center"/>
              <w:rPr>
                <w:rFonts w:ascii="Arial" w:eastAsia="Times New Roman" w:hAnsi="Arial" w:cs="Arial"/>
                <w:color w:val="0000CC"/>
                <w:sz w:val="20"/>
                <w:szCs w:val="20"/>
                <w:lang w:eastAsia="en-GB"/>
              </w:rPr>
            </w:pPr>
          </w:p>
        </w:tc>
        <w:tc>
          <w:tcPr>
            <w:tcW w:w="2613" w:type="dxa"/>
            <w:vAlign w:val="center"/>
            <w:hideMark/>
          </w:tcPr>
          <w:p w:rsidR="002265C1" w:rsidRPr="002265C1" w:rsidRDefault="002265C1" w:rsidP="002265C1">
            <w:pPr>
              <w:spacing w:before="60" w:after="60" w:line="240" w:lineRule="auto"/>
              <w:rPr>
                <w:rFonts w:ascii="Arial" w:eastAsia="Times New Roman" w:hAnsi="Arial" w:cs="Arial"/>
                <w:sz w:val="20"/>
                <w:szCs w:val="20"/>
                <w:lang w:eastAsia="en-GB"/>
              </w:rPr>
            </w:pPr>
          </w:p>
        </w:tc>
      </w:tr>
      <w:tr w:rsidR="002265C1" w:rsidRPr="002265C1" w:rsidTr="00AB3885">
        <w:trPr>
          <w:trHeight w:val="255"/>
        </w:trPr>
        <w:tc>
          <w:tcPr>
            <w:tcW w:w="0" w:type="auto"/>
            <w:vAlign w:val="center"/>
            <w:hideMark/>
          </w:tcPr>
          <w:p w:rsidR="002265C1" w:rsidRPr="002265C1" w:rsidRDefault="002265C1" w:rsidP="002265C1">
            <w:pPr>
              <w:spacing w:before="60" w:after="60" w:line="240" w:lineRule="auto"/>
              <w:ind w:left="57"/>
              <w:rPr>
                <w:rFonts w:ascii="Arial" w:eastAsia="Times New Roman" w:hAnsi="Arial" w:cs="Arial"/>
                <w:sz w:val="20"/>
                <w:szCs w:val="20"/>
                <w:lang w:eastAsia="en-GB"/>
              </w:rPr>
            </w:pPr>
            <w:r w:rsidRPr="002265C1">
              <w:rPr>
                <w:rFonts w:ascii="Arial" w:eastAsia="Times New Roman" w:hAnsi="Arial" w:cs="Arial"/>
                <w:sz w:val="20"/>
                <w:szCs w:val="20"/>
                <w:lang w:eastAsia="en-GB"/>
              </w:rPr>
              <w:t>Local community consent</w:t>
            </w:r>
          </w:p>
        </w:tc>
        <w:tc>
          <w:tcPr>
            <w:tcW w:w="1363" w:type="dxa"/>
            <w:vAlign w:val="center"/>
            <w:hideMark/>
          </w:tcPr>
          <w:p w:rsidR="002265C1" w:rsidRPr="002265C1" w:rsidRDefault="002265C1" w:rsidP="002265C1">
            <w:pPr>
              <w:spacing w:before="60" w:after="60" w:line="240" w:lineRule="auto"/>
              <w:jc w:val="center"/>
              <w:rPr>
                <w:rFonts w:ascii="Arial" w:eastAsia="Times New Roman" w:hAnsi="Arial" w:cs="Arial"/>
                <w:sz w:val="20"/>
                <w:szCs w:val="20"/>
                <w:lang w:eastAsia="en-GB"/>
              </w:rPr>
            </w:pPr>
            <w:r w:rsidRPr="002265C1">
              <w:rPr>
                <w:rFonts w:ascii="Arial" w:eastAsia="Times New Roman" w:hAnsi="Arial" w:cs="Arial"/>
                <w:sz w:val="20"/>
                <w:szCs w:val="20"/>
                <w:lang w:eastAsia="en-GB"/>
              </w:rPr>
              <w:t>3</w:t>
            </w:r>
          </w:p>
        </w:tc>
        <w:tc>
          <w:tcPr>
            <w:tcW w:w="1701" w:type="dxa"/>
            <w:vAlign w:val="center"/>
            <w:hideMark/>
          </w:tcPr>
          <w:p w:rsidR="002265C1" w:rsidRPr="002265C1" w:rsidRDefault="002265C1" w:rsidP="002265C1">
            <w:pPr>
              <w:spacing w:before="60" w:after="60" w:line="240" w:lineRule="auto"/>
              <w:jc w:val="center"/>
              <w:rPr>
                <w:rFonts w:ascii="Arial" w:eastAsia="Times New Roman" w:hAnsi="Arial" w:cs="Arial"/>
                <w:color w:val="0000CC"/>
                <w:sz w:val="20"/>
                <w:szCs w:val="20"/>
                <w:lang w:eastAsia="en-GB"/>
              </w:rPr>
            </w:pPr>
          </w:p>
        </w:tc>
        <w:tc>
          <w:tcPr>
            <w:tcW w:w="2613" w:type="dxa"/>
            <w:vAlign w:val="center"/>
            <w:hideMark/>
          </w:tcPr>
          <w:p w:rsidR="002265C1" w:rsidRPr="002265C1" w:rsidRDefault="002265C1" w:rsidP="002265C1">
            <w:pPr>
              <w:spacing w:before="60" w:after="60" w:line="240" w:lineRule="auto"/>
              <w:rPr>
                <w:rFonts w:ascii="Arial" w:eastAsia="Times New Roman" w:hAnsi="Arial" w:cs="Arial"/>
                <w:sz w:val="20"/>
                <w:szCs w:val="20"/>
                <w:lang w:eastAsia="en-GB"/>
              </w:rPr>
            </w:pPr>
          </w:p>
        </w:tc>
      </w:tr>
      <w:tr w:rsidR="002265C1" w:rsidRPr="002265C1" w:rsidTr="00AB3885">
        <w:trPr>
          <w:trHeight w:val="255"/>
        </w:trPr>
        <w:tc>
          <w:tcPr>
            <w:tcW w:w="0" w:type="auto"/>
            <w:vAlign w:val="center"/>
            <w:hideMark/>
          </w:tcPr>
          <w:p w:rsidR="002265C1" w:rsidRPr="002265C1" w:rsidRDefault="002265C1" w:rsidP="002265C1">
            <w:pPr>
              <w:spacing w:before="60" w:after="60" w:line="240" w:lineRule="auto"/>
              <w:ind w:left="57"/>
              <w:rPr>
                <w:rFonts w:ascii="Arial" w:eastAsia="Times New Roman" w:hAnsi="Arial" w:cs="Arial"/>
                <w:sz w:val="20"/>
                <w:szCs w:val="20"/>
                <w:lang w:eastAsia="en-GB"/>
              </w:rPr>
            </w:pPr>
            <w:r w:rsidRPr="002265C1">
              <w:rPr>
                <w:rFonts w:ascii="Arial" w:eastAsia="Times New Roman" w:hAnsi="Arial" w:cs="Arial"/>
                <w:sz w:val="20"/>
                <w:szCs w:val="20"/>
                <w:lang w:eastAsia="en-GB"/>
              </w:rPr>
              <w:t>Stable policy environment</w:t>
            </w:r>
          </w:p>
        </w:tc>
        <w:tc>
          <w:tcPr>
            <w:tcW w:w="1363" w:type="dxa"/>
            <w:vAlign w:val="center"/>
            <w:hideMark/>
          </w:tcPr>
          <w:p w:rsidR="002265C1" w:rsidRPr="002265C1" w:rsidRDefault="002265C1" w:rsidP="002265C1">
            <w:pPr>
              <w:spacing w:before="60" w:after="60" w:line="240" w:lineRule="auto"/>
              <w:jc w:val="center"/>
              <w:rPr>
                <w:rFonts w:ascii="Arial" w:eastAsia="Times New Roman" w:hAnsi="Arial" w:cs="Arial"/>
                <w:sz w:val="20"/>
                <w:szCs w:val="20"/>
                <w:lang w:eastAsia="en-GB"/>
              </w:rPr>
            </w:pPr>
            <w:r w:rsidRPr="002265C1">
              <w:rPr>
                <w:rFonts w:ascii="Arial" w:eastAsia="Times New Roman" w:hAnsi="Arial" w:cs="Arial"/>
                <w:sz w:val="20"/>
                <w:szCs w:val="20"/>
                <w:lang w:eastAsia="en-GB"/>
              </w:rPr>
              <w:t>20</w:t>
            </w:r>
          </w:p>
        </w:tc>
        <w:tc>
          <w:tcPr>
            <w:tcW w:w="1701" w:type="dxa"/>
            <w:vAlign w:val="center"/>
            <w:hideMark/>
          </w:tcPr>
          <w:p w:rsidR="002265C1" w:rsidRPr="002265C1" w:rsidRDefault="002265C1" w:rsidP="002265C1">
            <w:pPr>
              <w:spacing w:before="60" w:after="60" w:line="240" w:lineRule="auto"/>
              <w:jc w:val="center"/>
              <w:rPr>
                <w:rFonts w:ascii="Arial" w:eastAsia="Times New Roman" w:hAnsi="Arial" w:cs="Arial"/>
                <w:color w:val="0000CC"/>
                <w:sz w:val="20"/>
                <w:szCs w:val="20"/>
                <w:lang w:eastAsia="en-GB"/>
              </w:rPr>
            </w:pPr>
          </w:p>
        </w:tc>
        <w:tc>
          <w:tcPr>
            <w:tcW w:w="2613" w:type="dxa"/>
            <w:vAlign w:val="center"/>
            <w:hideMark/>
          </w:tcPr>
          <w:p w:rsidR="002265C1" w:rsidRPr="002265C1" w:rsidRDefault="002265C1" w:rsidP="002265C1">
            <w:pPr>
              <w:spacing w:before="60" w:after="60" w:line="240" w:lineRule="auto"/>
              <w:rPr>
                <w:rFonts w:ascii="Arial" w:eastAsia="Times New Roman" w:hAnsi="Arial" w:cs="Arial"/>
                <w:sz w:val="20"/>
                <w:szCs w:val="20"/>
                <w:lang w:eastAsia="en-GB"/>
              </w:rPr>
            </w:pPr>
          </w:p>
        </w:tc>
      </w:tr>
      <w:tr w:rsidR="002265C1" w:rsidRPr="002265C1" w:rsidTr="00AB3885">
        <w:trPr>
          <w:trHeight w:val="255"/>
        </w:trPr>
        <w:tc>
          <w:tcPr>
            <w:tcW w:w="0" w:type="auto"/>
            <w:vAlign w:val="center"/>
            <w:hideMark/>
          </w:tcPr>
          <w:p w:rsidR="002265C1" w:rsidRPr="002265C1" w:rsidRDefault="002265C1" w:rsidP="002265C1">
            <w:pPr>
              <w:spacing w:before="60" w:after="60" w:line="240" w:lineRule="auto"/>
              <w:ind w:left="57"/>
              <w:rPr>
                <w:rFonts w:ascii="Arial" w:eastAsia="Times New Roman" w:hAnsi="Arial" w:cs="Arial"/>
                <w:sz w:val="20"/>
                <w:szCs w:val="20"/>
                <w:lang w:eastAsia="en-GB"/>
              </w:rPr>
            </w:pPr>
            <w:r w:rsidRPr="002265C1">
              <w:rPr>
                <w:rFonts w:ascii="Arial" w:eastAsia="Times New Roman" w:hAnsi="Arial" w:cs="Arial"/>
                <w:sz w:val="20"/>
                <w:szCs w:val="20"/>
                <w:lang w:eastAsia="en-GB"/>
              </w:rPr>
              <w:t>Likely competition in the market for the project</w:t>
            </w:r>
          </w:p>
        </w:tc>
        <w:tc>
          <w:tcPr>
            <w:tcW w:w="1363" w:type="dxa"/>
            <w:vAlign w:val="center"/>
            <w:hideMark/>
          </w:tcPr>
          <w:p w:rsidR="002265C1" w:rsidRPr="002265C1" w:rsidRDefault="002265C1" w:rsidP="002265C1">
            <w:pPr>
              <w:spacing w:before="60" w:after="60" w:line="240" w:lineRule="auto"/>
              <w:jc w:val="center"/>
              <w:rPr>
                <w:rFonts w:ascii="Arial" w:eastAsia="Times New Roman" w:hAnsi="Arial" w:cs="Arial"/>
                <w:sz w:val="20"/>
                <w:szCs w:val="20"/>
                <w:lang w:eastAsia="en-GB"/>
              </w:rPr>
            </w:pPr>
            <w:r w:rsidRPr="002265C1">
              <w:rPr>
                <w:rFonts w:ascii="Arial" w:eastAsia="Times New Roman" w:hAnsi="Arial" w:cs="Arial"/>
                <w:sz w:val="20"/>
                <w:szCs w:val="20"/>
                <w:lang w:eastAsia="en-GB"/>
              </w:rPr>
              <w:t>2</w:t>
            </w:r>
          </w:p>
        </w:tc>
        <w:tc>
          <w:tcPr>
            <w:tcW w:w="1701" w:type="dxa"/>
            <w:vAlign w:val="center"/>
            <w:hideMark/>
          </w:tcPr>
          <w:p w:rsidR="002265C1" w:rsidRPr="002265C1" w:rsidRDefault="002265C1" w:rsidP="002265C1">
            <w:pPr>
              <w:spacing w:before="60" w:after="60" w:line="240" w:lineRule="auto"/>
              <w:jc w:val="center"/>
              <w:rPr>
                <w:rFonts w:ascii="Arial" w:eastAsia="Times New Roman" w:hAnsi="Arial" w:cs="Arial"/>
                <w:color w:val="0000CC"/>
                <w:sz w:val="20"/>
                <w:szCs w:val="20"/>
                <w:lang w:eastAsia="en-GB"/>
              </w:rPr>
            </w:pPr>
          </w:p>
        </w:tc>
        <w:tc>
          <w:tcPr>
            <w:tcW w:w="2613" w:type="dxa"/>
            <w:vAlign w:val="center"/>
            <w:hideMark/>
          </w:tcPr>
          <w:p w:rsidR="002265C1" w:rsidRPr="002265C1" w:rsidRDefault="002265C1" w:rsidP="002265C1">
            <w:pPr>
              <w:spacing w:before="60" w:after="60" w:line="240" w:lineRule="auto"/>
              <w:rPr>
                <w:rFonts w:ascii="Arial" w:eastAsia="Times New Roman" w:hAnsi="Arial" w:cs="Arial"/>
                <w:sz w:val="20"/>
                <w:szCs w:val="20"/>
                <w:lang w:eastAsia="en-GB"/>
              </w:rPr>
            </w:pPr>
          </w:p>
        </w:tc>
      </w:tr>
      <w:tr w:rsidR="002265C1" w:rsidRPr="002265C1" w:rsidTr="00AB3885">
        <w:trPr>
          <w:trHeight w:val="255"/>
        </w:trPr>
        <w:tc>
          <w:tcPr>
            <w:tcW w:w="0" w:type="auto"/>
            <w:vAlign w:val="center"/>
            <w:hideMark/>
          </w:tcPr>
          <w:p w:rsidR="002265C1" w:rsidRPr="002265C1" w:rsidRDefault="002265C1" w:rsidP="00FB2678">
            <w:pPr>
              <w:spacing w:before="120" w:after="120" w:line="240" w:lineRule="auto"/>
              <w:ind w:left="57"/>
              <w:jc w:val="right"/>
              <w:rPr>
                <w:rFonts w:ascii="Arial" w:eastAsia="Times New Roman" w:hAnsi="Arial" w:cs="Arial"/>
                <w:b/>
                <w:bCs/>
                <w:sz w:val="20"/>
                <w:szCs w:val="20"/>
                <w:lang w:eastAsia="en-GB"/>
              </w:rPr>
            </w:pPr>
            <w:r w:rsidRPr="002265C1">
              <w:rPr>
                <w:rFonts w:ascii="Arial" w:eastAsia="Times New Roman" w:hAnsi="Arial" w:cs="Arial"/>
                <w:b/>
                <w:bCs/>
                <w:sz w:val="20"/>
                <w:szCs w:val="20"/>
                <w:lang w:eastAsia="en-GB"/>
              </w:rPr>
              <w:t>TOTAL</w:t>
            </w:r>
          </w:p>
        </w:tc>
        <w:tc>
          <w:tcPr>
            <w:tcW w:w="1363" w:type="dxa"/>
            <w:vAlign w:val="center"/>
            <w:hideMark/>
          </w:tcPr>
          <w:p w:rsidR="002265C1" w:rsidRPr="002265C1" w:rsidRDefault="002265C1" w:rsidP="002265C1">
            <w:pPr>
              <w:spacing w:before="120" w:after="120" w:line="240" w:lineRule="auto"/>
              <w:jc w:val="center"/>
              <w:rPr>
                <w:rFonts w:ascii="Arial" w:eastAsia="Times New Roman" w:hAnsi="Arial" w:cs="Arial"/>
                <w:b/>
                <w:bCs/>
                <w:sz w:val="20"/>
                <w:szCs w:val="20"/>
                <w:lang w:eastAsia="en-GB"/>
              </w:rPr>
            </w:pPr>
            <w:r w:rsidRPr="002265C1">
              <w:rPr>
                <w:rFonts w:ascii="Arial" w:eastAsia="Times New Roman" w:hAnsi="Arial" w:cs="Arial"/>
                <w:b/>
                <w:bCs/>
                <w:sz w:val="20"/>
                <w:szCs w:val="20"/>
                <w:lang w:eastAsia="en-GB"/>
              </w:rPr>
              <w:t>100</w:t>
            </w:r>
          </w:p>
        </w:tc>
        <w:tc>
          <w:tcPr>
            <w:tcW w:w="1701" w:type="dxa"/>
            <w:vAlign w:val="center"/>
            <w:hideMark/>
          </w:tcPr>
          <w:p w:rsidR="002265C1" w:rsidRPr="002265C1" w:rsidRDefault="002265C1" w:rsidP="002265C1">
            <w:pPr>
              <w:spacing w:before="120" w:after="120" w:line="240" w:lineRule="auto"/>
              <w:jc w:val="center"/>
              <w:rPr>
                <w:rFonts w:ascii="Arial" w:eastAsia="Times New Roman" w:hAnsi="Arial" w:cs="Arial"/>
                <w:b/>
                <w:bCs/>
                <w:sz w:val="20"/>
                <w:szCs w:val="20"/>
                <w:lang w:eastAsia="en-GB"/>
              </w:rPr>
            </w:pPr>
          </w:p>
        </w:tc>
        <w:tc>
          <w:tcPr>
            <w:tcW w:w="2613" w:type="dxa"/>
            <w:vAlign w:val="center"/>
            <w:hideMark/>
          </w:tcPr>
          <w:p w:rsidR="002265C1" w:rsidRPr="00FB2678" w:rsidRDefault="00FB2678" w:rsidP="00FB2678">
            <w:pPr>
              <w:spacing w:before="120" w:after="120" w:line="240" w:lineRule="auto"/>
              <w:rPr>
                <w:rFonts w:ascii="Arial" w:eastAsia="Times New Roman" w:hAnsi="Arial" w:cs="Arial"/>
                <w:b/>
                <w:sz w:val="20"/>
                <w:szCs w:val="20"/>
                <w:lang w:eastAsia="en-GB"/>
              </w:rPr>
            </w:pPr>
            <w:r w:rsidRPr="00FB2678">
              <w:rPr>
                <w:rFonts w:ascii="Arial" w:eastAsia="Times New Roman" w:hAnsi="Arial" w:cs="Arial"/>
                <w:b/>
                <w:sz w:val="20"/>
                <w:szCs w:val="20"/>
                <w:lang w:eastAsia="en-GB"/>
              </w:rPr>
              <w:t>- Adjusted Factor</w:t>
            </w:r>
          </w:p>
        </w:tc>
      </w:tr>
    </w:tbl>
    <w:p w:rsidR="00AB3885" w:rsidRDefault="00AB3885" w:rsidP="00AB3885">
      <w:pPr>
        <w:pStyle w:val="NoSpacing"/>
      </w:pPr>
    </w:p>
    <w:p w:rsidR="00AB3885" w:rsidRDefault="00AB3885" w:rsidP="00AB3885">
      <w:pPr>
        <w:pStyle w:val="Standardparagraph"/>
        <w:rPr>
          <w:lang w:eastAsia="en-GB"/>
        </w:rPr>
      </w:pPr>
      <w:r>
        <w:rPr>
          <w:lang w:eastAsia="en-GB"/>
        </w:rPr>
        <w:t>The degree by which these Contributory Factors is reduced may be dependent upon a combination of increased quantification of known risks, elimination of these factors through mitigation measures, and/or the transfer of these factors into the project base cost where a 90-95% cost certainty has been developed.</w:t>
      </w:r>
    </w:p>
    <w:p w:rsidR="00AB3885" w:rsidRDefault="00AB3885" w:rsidP="00AB3885">
      <w:pPr>
        <w:pStyle w:val="Standardparagraph"/>
        <w:rPr>
          <w:lang w:eastAsia="en-GB"/>
        </w:rPr>
      </w:pPr>
      <w:r>
        <w:rPr>
          <w:lang w:eastAsia="en-GB"/>
        </w:rPr>
        <w:t xml:space="preserve">Note that there should be no double counting between these Contributory Factors </w:t>
      </w:r>
      <w:r>
        <w:rPr>
          <w:lang w:eastAsia="en-GB"/>
        </w:rPr>
        <w:lastRenderedPageBreak/>
        <w:t xml:space="preserve">and </w:t>
      </w:r>
      <w:r w:rsidR="00FB2678">
        <w:rPr>
          <w:lang w:eastAsia="en-GB"/>
        </w:rPr>
        <w:t>quantifiable project risks.</w:t>
      </w:r>
    </w:p>
    <w:p w:rsidR="00FB2678" w:rsidRDefault="00AB3885" w:rsidP="00FB2678">
      <w:pPr>
        <w:pStyle w:val="Heading3"/>
      </w:pPr>
      <w:r>
        <w:rPr>
          <w:lang w:eastAsia="en-GB"/>
        </w:rPr>
        <w:t xml:space="preserve"> </w:t>
      </w:r>
      <w:r w:rsidR="00FB2678">
        <w:t>Step 4: Apply the Optimum Bias adjustment to project costs</w:t>
      </w:r>
    </w:p>
    <w:p w:rsidR="00FB2678" w:rsidRPr="00FB2678" w:rsidRDefault="00FB2678" w:rsidP="00FB2678">
      <w:pPr>
        <w:pStyle w:val="Standardparagraph"/>
      </w:pPr>
      <w:r>
        <w:t xml:space="preserve">The present value of the capital costs should be multiplied by the adjusted optimism bias factor.  </w:t>
      </w:r>
      <w:r w:rsidRPr="00FB2678">
        <w:t>The result should then be added to the total net present cost (</w:t>
      </w:r>
      <w:r>
        <w:t>or NPC) to provide the base cost. The base cost</w:t>
      </w:r>
      <w:r w:rsidRPr="00FB2678">
        <w:t>, as defined in the Green Book, is the best estimate of how much a proposal will cost in economic terms, allowing for risk and optimism</w:t>
      </w:r>
      <w:r>
        <w:t xml:space="preserve"> bias</w:t>
      </w:r>
      <w:r w:rsidRPr="00FB2678">
        <w:t>.</w:t>
      </w:r>
    </w:p>
    <w:p w:rsidR="00B53E95" w:rsidRDefault="00B53E95" w:rsidP="00FB2678">
      <w:pPr>
        <w:pStyle w:val="Heading3"/>
        <w:rPr>
          <w:rFonts w:eastAsia="Times New Roman"/>
        </w:rPr>
      </w:pPr>
      <w:r>
        <w:t>Continually review the Optimism Bias adjustment</w:t>
      </w:r>
      <w:r w:rsidRPr="00FB2678">
        <w:rPr>
          <w:rFonts w:eastAsia="Times New Roman"/>
        </w:rPr>
        <w:t xml:space="preserve"> </w:t>
      </w:r>
    </w:p>
    <w:p w:rsidR="00FB2678" w:rsidRDefault="00FB2678" w:rsidP="00FB2678">
      <w:pPr>
        <w:pStyle w:val="Standardparagraph"/>
      </w:pPr>
      <w:r w:rsidRPr="00FB2678">
        <w:t>Clear and tangible evidence of the mitigation of contr</w:t>
      </w:r>
      <w:r>
        <w:t xml:space="preserve">ibutory factors must be presented, whilst also being </w:t>
      </w:r>
      <w:r w:rsidRPr="00FB2678">
        <w:t xml:space="preserve">verified independently, before reductions in optimism bias are made. Procedures for this include the Gateway Review </w:t>
      </w:r>
      <w:r w:rsidR="00D677E9">
        <w:t xml:space="preserve">and Key Stage Review </w:t>
      </w:r>
      <w:r w:rsidRPr="00FB2678">
        <w:t>process</w:t>
      </w:r>
      <w:r w:rsidR="00D677E9">
        <w:t>es</w:t>
      </w:r>
      <w:r w:rsidRPr="00FB2678">
        <w:t>.</w:t>
      </w:r>
    </w:p>
    <w:p w:rsidR="00B53E95" w:rsidRDefault="005C788A" w:rsidP="00B53E95">
      <w:pPr>
        <w:pStyle w:val="Heading3"/>
        <w:rPr>
          <w:rFonts w:eastAsia="Times New Roman"/>
        </w:rPr>
      </w:pPr>
      <w:r>
        <w:rPr>
          <w:rFonts w:eastAsia="Times New Roman"/>
        </w:rPr>
        <w:t>Presenting the Results</w:t>
      </w:r>
    </w:p>
    <w:p w:rsidR="005C788A" w:rsidRDefault="005C788A" w:rsidP="005C788A">
      <w:pPr>
        <w:pStyle w:val="Standardparagraph"/>
      </w:pPr>
      <w:r w:rsidRPr="00D0670F">
        <w:t xml:space="preserve">Following these steps will provide an optimism bias adjustment that can be used to provide a better estimate of the base case. </w:t>
      </w:r>
      <w:r>
        <w:t xml:space="preserve"> </w:t>
      </w:r>
      <w:r w:rsidR="00D677E9">
        <w:t>Sensitivity testing can</w:t>
      </w:r>
      <w:r w:rsidRPr="00D0670F">
        <w:t xml:space="preserve"> be used to consider uncertainties around the</w:t>
      </w:r>
      <w:r>
        <w:t xml:space="preserve"> adjustment for optimism bias </w:t>
      </w:r>
      <w:r w:rsidRPr="00D0670F">
        <w:t>to show the range of potential outcomes, not just the single optimism bias adjustment.</w:t>
      </w:r>
      <w:r>
        <w:t xml:space="preserve">  This can then be used to inform the range of costs applicable for reporting at Initial Agreement stage.</w:t>
      </w:r>
    </w:p>
    <w:p w:rsidR="005C788A" w:rsidRDefault="005C788A" w:rsidP="005C788A">
      <w:pPr>
        <w:pStyle w:val="Heading3"/>
      </w:pPr>
      <w:r>
        <w:t>Operating Costs and Benefits</w:t>
      </w:r>
    </w:p>
    <w:p w:rsidR="005C788A" w:rsidRPr="003E495F" w:rsidRDefault="005C788A" w:rsidP="005C788A">
      <w:pPr>
        <w:pStyle w:val="Standardparagraph"/>
      </w:pPr>
      <w:r>
        <w:t>Optimism bias should also</w:t>
      </w:r>
      <w:r w:rsidRPr="003E495F">
        <w:t xml:space="preserve"> be considered for operating costs and benefits. If</w:t>
      </w:r>
      <w:r>
        <w:t xml:space="preserve">, however, </w:t>
      </w:r>
      <w:r w:rsidRPr="003E495F">
        <w:t>there is no evidence to support adjustments to operating costs or benefits, appraisers should use sensitivity analysis to check switching values</w:t>
      </w:r>
      <w:r w:rsidR="009416D0">
        <w:t xml:space="preserve"> </w:t>
      </w:r>
      <w:r w:rsidRPr="003E495F">
        <w:t>to answer key questions such as:</w:t>
      </w:r>
    </w:p>
    <w:p w:rsidR="005C788A" w:rsidRPr="003E495F" w:rsidRDefault="009416D0" w:rsidP="005C788A">
      <w:pPr>
        <w:pStyle w:val="Standardbullet"/>
      </w:pPr>
      <w:r>
        <w:t>B</w:t>
      </w:r>
      <w:r w:rsidR="005C788A" w:rsidRPr="003E495F">
        <w:t>y how much can we allow benefits to fall short of expectations, if the proposal is to remain worthwhile? How likely is this?</w:t>
      </w:r>
    </w:p>
    <w:p w:rsidR="005C788A" w:rsidRPr="003E495F" w:rsidRDefault="009416D0" w:rsidP="005C788A">
      <w:pPr>
        <w:pStyle w:val="Standardbullet"/>
      </w:pPr>
      <w:r>
        <w:t>B</w:t>
      </w:r>
      <w:r w:rsidR="005C788A" w:rsidRPr="003E495F">
        <w:t>y how much can operating costs increase, if the proposal is to remain worthwhile? How likely is this to happen?</w:t>
      </w:r>
    </w:p>
    <w:p w:rsidR="005C788A" w:rsidRPr="003E495F" w:rsidRDefault="009416D0" w:rsidP="005C788A">
      <w:pPr>
        <w:pStyle w:val="Standardbullet"/>
      </w:pPr>
      <w:r>
        <w:lastRenderedPageBreak/>
        <w:t>W</w:t>
      </w:r>
      <w:r w:rsidR="005C788A" w:rsidRPr="003E495F">
        <w:t>hat will be the impact on benefits if operating costs are constrained?</w:t>
      </w:r>
    </w:p>
    <w:p w:rsidR="005C788A" w:rsidRPr="005C788A" w:rsidRDefault="005C788A" w:rsidP="005C788A">
      <w:pPr>
        <w:pStyle w:val="Standardparagraph"/>
      </w:pPr>
    </w:p>
    <w:p w:rsidR="00402791" w:rsidRDefault="004774F4" w:rsidP="005C788A">
      <w:pPr>
        <w:pStyle w:val="Heading2"/>
      </w:pPr>
      <w:bookmarkStart w:id="19" w:name="_Toc415492011"/>
      <w:r>
        <w:t>A Bottom up Approach to Risk Quantification</w:t>
      </w:r>
      <w:bookmarkEnd w:id="19"/>
    </w:p>
    <w:p w:rsidR="00A17E94" w:rsidRDefault="00EA359D" w:rsidP="004774F4">
      <w:pPr>
        <w:pStyle w:val="Standardparagraph"/>
      </w:pPr>
      <w:r>
        <w:t>The need to use generic ‘Optimism Bias’, or any other provision for unknown uncertainty, in a project cost estimate implies that there is significant elements of the project that are not defined or understood.  As these project details become better understood the intention should be to develop an integrated projec</w:t>
      </w:r>
      <w:r w:rsidR="00D677E9">
        <w:t>t base cost and risk contingency</w:t>
      </w:r>
      <w:r>
        <w:t xml:space="preserve"> that all but replaces optimism bias</w:t>
      </w:r>
      <w:r w:rsidR="00A17E94">
        <w:t>.  This, however, should be done in stages as the project develops between Initial Agreement, Outline and Full Business Cases.</w:t>
      </w:r>
    </w:p>
    <w:p w:rsidR="004774F4" w:rsidRDefault="00724D70" w:rsidP="00A17E94">
      <w:pPr>
        <w:pStyle w:val="Standardparagraph"/>
      </w:pPr>
      <w:r>
        <w:t>This risk contingency</w:t>
      </w:r>
      <w:r w:rsidR="00A17E94">
        <w:t xml:space="preserve"> must therefore be generated from a ‘bottom-up’ risk quantification based on a comprehensive risk register and associated mitigation plans.</w:t>
      </w:r>
    </w:p>
    <w:p w:rsidR="000A2979" w:rsidRDefault="000A2979" w:rsidP="00A17E94">
      <w:pPr>
        <w:pStyle w:val="Standardparagraph"/>
      </w:pPr>
      <w:r>
        <w:t xml:space="preserve">The following describes three approaches for calculating this risk </w:t>
      </w:r>
      <w:r w:rsidR="00724D70">
        <w:t>contingency</w:t>
      </w:r>
      <w:r>
        <w:t>, with the Monte Carlo simulation technique regarded as the most beneficial approach to take.</w:t>
      </w:r>
    </w:p>
    <w:p w:rsidR="000A2979" w:rsidRPr="004774F4" w:rsidRDefault="000A2979" w:rsidP="000A2979">
      <w:pPr>
        <w:pStyle w:val="Heading3"/>
      </w:pPr>
      <w:r>
        <w:t>Single point probability analysis</w:t>
      </w:r>
    </w:p>
    <w:p w:rsidR="00DF3904" w:rsidRPr="00D0670F" w:rsidRDefault="00DF3904" w:rsidP="00EB639F">
      <w:pPr>
        <w:pStyle w:val="Standardparagraph"/>
      </w:pPr>
      <w:r w:rsidRPr="00D0670F">
        <w:t>At its m</w:t>
      </w:r>
      <w:r w:rsidR="00724D70">
        <w:t>ost basic, a risk analysis</w:t>
      </w:r>
      <w:r w:rsidRPr="00D0670F">
        <w:t xml:space="preserve"> consist</w:t>
      </w:r>
      <w:r w:rsidR="00724D70">
        <w:t>s</w:t>
      </w:r>
      <w:r w:rsidRPr="00D0670F">
        <w:t xml:space="preserve"> of an estimate of the cost of each risk occurring, multiplied by a single </w:t>
      </w:r>
      <w:r w:rsidR="00CE1EC2">
        <w:t>likelihood</w:t>
      </w:r>
      <w:r w:rsidR="00CE1EC2" w:rsidRPr="00D0670F">
        <w:t xml:space="preserve"> </w:t>
      </w:r>
      <w:r w:rsidRPr="00D0670F">
        <w:t>of that risk occurring</w:t>
      </w:r>
      <w:r w:rsidR="00D75D16">
        <w:t xml:space="preserve"> </w:t>
      </w:r>
      <w:r w:rsidRPr="00D0670F">
        <w:t>– see the example below.</w:t>
      </w:r>
    </w:p>
    <w:tbl>
      <w:tblPr>
        <w:tblW w:w="9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5148"/>
        <w:gridCol w:w="3960"/>
      </w:tblGrid>
      <w:tr w:rsidR="00DF3904" w:rsidTr="000A2979">
        <w:tc>
          <w:tcPr>
            <w:tcW w:w="9108" w:type="dxa"/>
            <w:gridSpan w:val="2"/>
            <w:shd w:val="clear" w:color="auto" w:fill="31849B" w:themeFill="accent5" w:themeFillShade="BF"/>
          </w:tcPr>
          <w:p w:rsidR="00DF3904" w:rsidRPr="000A2979" w:rsidRDefault="00DF3904" w:rsidP="000A2979">
            <w:pPr>
              <w:pStyle w:val="Standardtableparagraph"/>
              <w:rPr>
                <w:b/>
                <w:color w:val="FFFFFF" w:themeColor="background1"/>
              </w:rPr>
            </w:pPr>
            <w:r w:rsidRPr="000A2979">
              <w:rPr>
                <w:b/>
                <w:color w:val="FFFFFF" w:themeColor="background1"/>
              </w:rPr>
              <w:t>Case Study</w:t>
            </w:r>
          </w:p>
          <w:p w:rsidR="00DF3904" w:rsidRPr="00DF3904" w:rsidRDefault="00DF3904" w:rsidP="000A2979">
            <w:pPr>
              <w:pStyle w:val="Standardtableparagraph"/>
            </w:pPr>
            <w:r w:rsidRPr="000A2979">
              <w:rPr>
                <w:b/>
                <w:color w:val="FFFFFF" w:themeColor="background1"/>
              </w:rPr>
              <w:t>Single Point Analysis</w:t>
            </w:r>
          </w:p>
        </w:tc>
      </w:tr>
      <w:tr w:rsidR="00DF3904" w:rsidTr="000A2979">
        <w:tc>
          <w:tcPr>
            <w:tcW w:w="5148" w:type="dxa"/>
            <w:shd w:val="clear" w:color="auto" w:fill="auto"/>
            <w:vAlign w:val="center"/>
          </w:tcPr>
          <w:p w:rsidR="00644F2A" w:rsidRDefault="00D75D16" w:rsidP="000A2979">
            <w:pPr>
              <w:pStyle w:val="Standardtableparagraph"/>
            </w:pPr>
            <w:r>
              <w:t>Element of Cost being considered</w:t>
            </w:r>
          </w:p>
        </w:tc>
        <w:tc>
          <w:tcPr>
            <w:tcW w:w="3960" w:type="dxa"/>
            <w:shd w:val="clear" w:color="auto" w:fill="auto"/>
            <w:vAlign w:val="center"/>
          </w:tcPr>
          <w:p w:rsidR="00644F2A" w:rsidRDefault="00DF3904" w:rsidP="000A2979">
            <w:pPr>
              <w:pStyle w:val="Standardtableparagraph"/>
            </w:pPr>
            <w:r w:rsidRPr="00DF3904">
              <w:t>£2 million</w:t>
            </w:r>
          </w:p>
        </w:tc>
      </w:tr>
      <w:tr w:rsidR="00DF3904" w:rsidTr="000A2979">
        <w:tc>
          <w:tcPr>
            <w:tcW w:w="5148" w:type="dxa"/>
            <w:shd w:val="clear" w:color="auto" w:fill="auto"/>
            <w:vAlign w:val="center"/>
          </w:tcPr>
          <w:p w:rsidR="00644F2A" w:rsidRDefault="00DF3904" w:rsidP="000A2979">
            <w:pPr>
              <w:pStyle w:val="Standardtableparagraph"/>
            </w:pPr>
            <w:r w:rsidRPr="00DF3904">
              <w:t xml:space="preserve">Estimated </w:t>
            </w:r>
            <w:r w:rsidR="00CE1EC2">
              <w:t>consequence</w:t>
            </w:r>
            <w:r w:rsidR="00CE1EC2" w:rsidRPr="00DF3904">
              <w:t xml:space="preserve"> </w:t>
            </w:r>
            <w:r w:rsidRPr="00DF3904">
              <w:t>of risk of cost over-run</w:t>
            </w:r>
          </w:p>
        </w:tc>
        <w:tc>
          <w:tcPr>
            <w:tcW w:w="3960" w:type="dxa"/>
            <w:shd w:val="clear" w:color="auto" w:fill="auto"/>
            <w:vAlign w:val="center"/>
          </w:tcPr>
          <w:p w:rsidR="00644F2A" w:rsidRDefault="00DF3904" w:rsidP="000A2979">
            <w:pPr>
              <w:pStyle w:val="Standardtableparagraph"/>
            </w:pPr>
            <w:r w:rsidRPr="00DF3904">
              <w:t>£200,000</w:t>
            </w:r>
          </w:p>
        </w:tc>
      </w:tr>
      <w:tr w:rsidR="00DF3904" w:rsidTr="000A2979">
        <w:tc>
          <w:tcPr>
            <w:tcW w:w="5148" w:type="dxa"/>
            <w:shd w:val="clear" w:color="auto" w:fill="auto"/>
            <w:vAlign w:val="center"/>
          </w:tcPr>
          <w:p w:rsidR="00644F2A" w:rsidRDefault="00DF3904" w:rsidP="000A2979">
            <w:pPr>
              <w:pStyle w:val="Standardtableparagraph"/>
            </w:pPr>
            <w:r w:rsidRPr="00DF3904">
              <w:t xml:space="preserve">Estimated </w:t>
            </w:r>
            <w:r w:rsidR="00CE1EC2">
              <w:t>likelihood</w:t>
            </w:r>
            <w:r w:rsidR="00CE1EC2" w:rsidRPr="00DF3904">
              <w:t xml:space="preserve"> </w:t>
            </w:r>
            <w:r w:rsidRPr="00DF3904">
              <w:t>of risk occurring</w:t>
            </w:r>
          </w:p>
        </w:tc>
        <w:tc>
          <w:tcPr>
            <w:tcW w:w="3960" w:type="dxa"/>
            <w:shd w:val="clear" w:color="auto" w:fill="auto"/>
            <w:vAlign w:val="center"/>
          </w:tcPr>
          <w:p w:rsidR="00644F2A" w:rsidRDefault="00DF3904" w:rsidP="000A2979">
            <w:pPr>
              <w:pStyle w:val="Standardtableparagraph"/>
            </w:pPr>
            <w:r w:rsidRPr="00DF3904">
              <w:t>10%</w:t>
            </w:r>
          </w:p>
        </w:tc>
      </w:tr>
      <w:tr w:rsidR="00DF3904" w:rsidTr="000A2979">
        <w:tc>
          <w:tcPr>
            <w:tcW w:w="5148" w:type="dxa"/>
            <w:shd w:val="clear" w:color="auto" w:fill="auto"/>
            <w:vAlign w:val="center"/>
          </w:tcPr>
          <w:p w:rsidR="00644F2A" w:rsidRDefault="00DF3904" w:rsidP="000A2979">
            <w:pPr>
              <w:pStyle w:val="Standardtableparagraph"/>
            </w:pPr>
            <w:r w:rsidRPr="00DF3904">
              <w:t>Estimated value of risk = £200,000 x 10%</w:t>
            </w:r>
          </w:p>
        </w:tc>
        <w:tc>
          <w:tcPr>
            <w:tcW w:w="3960" w:type="dxa"/>
            <w:shd w:val="clear" w:color="auto" w:fill="auto"/>
            <w:vAlign w:val="center"/>
          </w:tcPr>
          <w:p w:rsidR="00644F2A" w:rsidRDefault="00DF3904" w:rsidP="000A2979">
            <w:pPr>
              <w:pStyle w:val="Standardtableparagraph"/>
            </w:pPr>
            <w:r w:rsidRPr="00DF3904">
              <w:t>£20,000</w:t>
            </w:r>
          </w:p>
        </w:tc>
      </w:tr>
    </w:tbl>
    <w:p w:rsidR="00724D70" w:rsidRDefault="00724D70" w:rsidP="00724D70">
      <w:pPr>
        <w:pStyle w:val="Standardparagraph"/>
      </w:pPr>
    </w:p>
    <w:p w:rsidR="00DF3904" w:rsidRPr="00D84831" w:rsidRDefault="009A211A" w:rsidP="000A2979">
      <w:pPr>
        <w:pStyle w:val="Heading3"/>
      </w:pPr>
      <w:r w:rsidRPr="009A211A">
        <w:lastRenderedPageBreak/>
        <w:t>Multi-point probability analysis</w:t>
      </w:r>
    </w:p>
    <w:p w:rsidR="00DF3904" w:rsidRPr="00D0670F" w:rsidRDefault="00DF3904" w:rsidP="00EB639F">
      <w:pPr>
        <w:pStyle w:val="Standardparagraph"/>
      </w:pPr>
      <w:r w:rsidRPr="00D0670F">
        <w:t xml:space="preserve">For any risk, a range of possible outcomes is more likely. An output probability distribution provides a more complete picture of the possible outcomes and recognises that some of these outcomes are more likely to occur than others. </w:t>
      </w:r>
      <w:r>
        <w:t xml:space="preserve"> </w:t>
      </w:r>
      <w:r w:rsidRPr="00D0670F">
        <w:t xml:space="preserve">An ‘expected outcome’ is the average of all possible outcomes, taking into account their different probabilities. </w:t>
      </w:r>
      <w:r>
        <w:t xml:space="preserve"> </w:t>
      </w:r>
      <w:r w:rsidRPr="00D0670F">
        <w:t>An example is given below:</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2310"/>
        <w:gridCol w:w="2311"/>
        <w:gridCol w:w="2310"/>
        <w:gridCol w:w="2177"/>
      </w:tblGrid>
      <w:tr w:rsidR="00DF3904" w:rsidRPr="00DF3904" w:rsidTr="000A2979">
        <w:tc>
          <w:tcPr>
            <w:tcW w:w="9108" w:type="dxa"/>
            <w:gridSpan w:val="4"/>
            <w:tcBorders>
              <w:top w:val="single" w:sz="18" w:space="0" w:color="auto"/>
              <w:bottom w:val="single" w:sz="6" w:space="0" w:color="auto"/>
            </w:tcBorders>
            <w:shd w:val="clear" w:color="auto" w:fill="31849B" w:themeFill="accent5" w:themeFillShade="BF"/>
          </w:tcPr>
          <w:p w:rsidR="00DF3904" w:rsidRPr="000A2979" w:rsidRDefault="00DF3904" w:rsidP="000A2979">
            <w:pPr>
              <w:pStyle w:val="Standardtableparagraph"/>
              <w:rPr>
                <w:b/>
                <w:color w:val="FFFFFF" w:themeColor="background1"/>
              </w:rPr>
            </w:pPr>
            <w:r w:rsidRPr="000A2979">
              <w:rPr>
                <w:b/>
                <w:color w:val="FFFFFF" w:themeColor="background1"/>
              </w:rPr>
              <w:t>Case Study</w:t>
            </w:r>
          </w:p>
          <w:p w:rsidR="00DF3904" w:rsidRPr="000A2979" w:rsidRDefault="000A2979" w:rsidP="000A2979">
            <w:pPr>
              <w:pStyle w:val="Standardtableparagraph"/>
              <w:rPr>
                <w:color w:val="FFFFFF" w:themeColor="background1"/>
              </w:rPr>
            </w:pPr>
            <w:r>
              <w:rPr>
                <w:color w:val="FFFFFF" w:themeColor="background1"/>
              </w:rPr>
              <w:t>M</w:t>
            </w:r>
            <w:r w:rsidR="00DF3904" w:rsidRPr="000A2979">
              <w:rPr>
                <w:color w:val="FFFFFF" w:themeColor="background1"/>
              </w:rPr>
              <w:t>ulti point analysis.</w:t>
            </w:r>
          </w:p>
          <w:p w:rsidR="00DF3904" w:rsidRPr="000A2979" w:rsidRDefault="00DF3904" w:rsidP="000A2979">
            <w:pPr>
              <w:pStyle w:val="Standardtableparagraph"/>
            </w:pPr>
            <w:r w:rsidRPr="000A2979">
              <w:rPr>
                <w:color w:val="FFFFFF" w:themeColor="background1"/>
              </w:rPr>
              <w:t>It is estimated that a particular facility will cost £50m to build.  The expected costs associated with construction cost uncertainties have been calculated as follows:</w:t>
            </w:r>
          </w:p>
        </w:tc>
      </w:tr>
      <w:tr w:rsidR="00DF3904" w:rsidRPr="00DF3904" w:rsidTr="000A2979">
        <w:tc>
          <w:tcPr>
            <w:tcW w:w="2310" w:type="dxa"/>
            <w:tcBorders>
              <w:top w:val="single" w:sz="6" w:space="0" w:color="auto"/>
              <w:bottom w:val="single" w:sz="6" w:space="0" w:color="auto"/>
            </w:tcBorders>
            <w:shd w:val="clear" w:color="auto" w:fill="92CDDC" w:themeFill="accent5" w:themeFillTint="99"/>
            <w:vAlign w:val="center"/>
          </w:tcPr>
          <w:p w:rsidR="00DF3904" w:rsidRPr="00DF3904" w:rsidRDefault="00DF3904" w:rsidP="000A2979">
            <w:pPr>
              <w:pStyle w:val="Standardtableparagraph"/>
            </w:pPr>
            <w:r w:rsidRPr="00DF3904">
              <w:t>Possible Cost (£m)</w:t>
            </w:r>
          </w:p>
        </w:tc>
        <w:tc>
          <w:tcPr>
            <w:tcW w:w="2311" w:type="dxa"/>
            <w:tcBorders>
              <w:top w:val="single" w:sz="6" w:space="0" w:color="auto"/>
              <w:bottom w:val="single" w:sz="6" w:space="0" w:color="auto"/>
            </w:tcBorders>
            <w:shd w:val="clear" w:color="auto" w:fill="92CDDC" w:themeFill="accent5" w:themeFillTint="99"/>
            <w:vAlign w:val="center"/>
          </w:tcPr>
          <w:p w:rsidR="00DF3904" w:rsidRPr="00DF3904" w:rsidRDefault="00DF3904" w:rsidP="000A2979">
            <w:pPr>
              <w:pStyle w:val="Standardtableparagraph"/>
            </w:pPr>
            <w:r w:rsidRPr="00DF3904">
              <w:t>Difference from estimated cost (£m)</w:t>
            </w:r>
          </w:p>
        </w:tc>
        <w:tc>
          <w:tcPr>
            <w:tcW w:w="2310" w:type="dxa"/>
            <w:tcBorders>
              <w:top w:val="single" w:sz="6" w:space="0" w:color="auto"/>
              <w:bottom w:val="single" w:sz="6" w:space="0" w:color="auto"/>
            </w:tcBorders>
            <w:shd w:val="clear" w:color="auto" w:fill="92CDDC" w:themeFill="accent5" w:themeFillTint="99"/>
            <w:vAlign w:val="center"/>
          </w:tcPr>
          <w:p w:rsidR="00644F2A" w:rsidRDefault="00DF3904" w:rsidP="000A2979">
            <w:pPr>
              <w:pStyle w:val="Standardtableparagraph"/>
            </w:pPr>
            <w:r w:rsidRPr="00DF3904">
              <w:t xml:space="preserve">Estimated </w:t>
            </w:r>
            <w:r w:rsidR="00CE1EC2">
              <w:t>likelihood</w:t>
            </w:r>
            <w:r w:rsidR="00CE1EC2" w:rsidRPr="00DF3904">
              <w:t xml:space="preserve"> </w:t>
            </w:r>
            <w:r w:rsidRPr="00DF3904">
              <w:t>of the event occurring</w:t>
            </w:r>
          </w:p>
        </w:tc>
        <w:tc>
          <w:tcPr>
            <w:tcW w:w="2177" w:type="dxa"/>
            <w:tcBorders>
              <w:top w:val="single" w:sz="6" w:space="0" w:color="auto"/>
              <w:bottom w:val="single" w:sz="6" w:space="0" w:color="auto"/>
            </w:tcBorders>
            <w:shd w:val="clear" w:color="auto" w:fill="92CDDC" w:themeFill="accent5" w:themeFillTint="99"/>
            <w:vAlign w:val="center"/>
          </w:tcPr>
          <w:p w:rsidR="00DF3904" w:rsidRPr="00DF3904" w:rsidRDefault="00DF3904" w:rsidP="000A2979">
            <w:pPr>
              <w:pStyle w:val="Standardtableparagraph"/>
            </w:pPr>
            <w:r w:rsidRPr="00DF3904">
              <w:t>Risk Value (£m)</w:t>
            </w:r>
          </w:p>
        </w:tc>
      </w:tr>
      <w:tr w:rsidR="00DF3904" w:rsidRPr="00DF3904" w:rsidTr="000A2979">
        <w:tc>
          <w:tcPr>
            <w:tcW w:w="2310" w:type="dxa"/>
            <w:tcBorders>
              <w:top w:val="single" w:sz="6" w:space="0" w:color="auto"/>
            </w:tcBorders>
            <w:shd w:val="clear" w:color="auto" w:fill="auto"/>
            <w:vAlign w:val="center"/>
          </w:tcPr>
          <w:p w:rsidR="00DF3904" w:rsidRPr="00DF3904" w:rsidRDefault="00DF3904" w:rsidP="00724D70">
            <w:pPr>
              <w:pStyle w:val="Standardtableparagraph"/>
              <w:jc w:val="center"/>
            </w:pPr>
            <w:r w:rsidRPr="00DF3904">
              <w:t>45</w:t>
            </w:r>
          </w:p>
        </w:tc>
        <w:tc>
          <w:tcPr>
            <w:tcW w:w="2311" w:type="dxa"/>
            <w:tcBorders>
              <w:top w:val="single" w:sz="6" w:space="0" w:color="auto"/>
            </w:tcBorders>
            <w:shd w:val="clear" w:color="auto" w:fill="auto"/>
            <w:vAlign w:val="center"/>
          </w:tcPr>
          <w:p w:rsidR="00DF3904" w:rsidRPr="00DF3904" w:rsidRDefault="00DF3904" w:rsidP="00724D70">
            <w:pPr>
              <w:pStyle w:val="Standardtableparagraph"/>
              <w:jc w:val="center"/>
            </w:pPr>
            <w:r w:rsidRPr="00DF3904">
              <w:t>-5</w:t>
            </w:r>
          </w:p>
        </w:tc>
        <w:tc>
          <w:tcPr>
            <w:tcW w:w="2310" w:type="dxa"/>
            <w:tcBorders>
              <w:top w:val="single" w:sz="6" w:space="0" w:color="auto"/>
            </w:tcBorders>
            <w:shd w:val="clear" w:color="auto" w:fill="auto"/>
            <w:vAlign w:val="center"/>
          </w:tcPr>
          <w:p w:rsidR="00DF3904" w:rsidRPr="00DF3904" w:rsidRDefault="00DF3904" w:rsidP="00724D70">
            <w:pPr>
              <w:pStyle w:val="Standardtableparagraph"/>
              <w:jc w:val="center"/>
            </w:pPr>
            <w:r w:rsidRPr="00DF3904">
              <w:t>0.1</w:t>
            </w:r>
          </w:p>
        </w:tc>
        <w:tc>
          <w:tcPr>
            <w:tcW w:w="2177" w:type="dxa"/>
            <w:tcBorders>
              <w:top w:val="single" w:sz="6" w:space="0" w:color="auto"/>
            </w:tcBorders>
            <w:shd w:val="clear" w:color="auto" w:fill="auto"/>
            <w:vAlign w:val="center"/>
          </w:tcPr>
          <w:p w:rsidR="00DF3904" w:rsidRPr="00DF3904" w:rsidRDefault="00DF3904" w:rsidP="00724D70">
            <w:pPr>
              <w:pStyle w:val="Standardtableparagraph"/>
              <w:jc w:val="center"/>
            </w:pPr>
            <w:r w:rsidRPr="00DF3904">
              <w:t>-0.5</w:t>
            </w:r>
          </w:p>
        </w:tc>
      </w:tr>
      <w:tr w:rsidR="00DF3904" w:rsidRPr="00DF3904" w:rsidTr="000A2979">
        <w:tc>
          <w:tcPr>
            <w:tcW w:w="2310" w:type="dxa"/>
            <w:shd w:val="clear" w:color="auto" w:fill="auto"/>
            <w:vAlign w:val="center"/>
          </w:tcPr>
          <w:p w:rsidR="00DF3904" w:rsidRPr="00DF3904" w:rsidRDefault="00DF3904" w:rsidP="00724D70">
            <w:pPr>
              <w:pStyle w:val="Standardtableparagraph"/>
              <w:jc w:val="center"/>
            </w:pPr>
            <w:r w:rsidRPr="00DF3904">
              <w:t>50</w:t>
            </w:r>
          </w:p>
        </w:tc>
        <w:tc>
          <w:tcPr>
            <w:tcW w:w="2311" w:type="dxa"/>
            <w:shd w:val="clear" w:color="auto" w:fill="auto"/>
            <w:vAlign w:val="center"/>
          </w:tcPr>
          <w:p w:rsidR="00DF3904" w:rsidRPr="00DF3904" w:rsidRDefault="00DF3904" w:rsidP="00724D70">
            <w:pPr>
              <w:pStyle w:val="Standardtableparagraph"/>
              <w:jc w:val="center"/>
            </w:pPr>
            <w:r w:rsidRPr="00DF3904">
              <w:t>0</w:t>
            </w:r>
          </w:p>
        </w:tc>
        <w:tc>
          <w:tcPr>
            <w:tcW w:w="2310" w:type="dxa"/>
            <w:shd w:val="clear" w:color="auto" w:fill="auto"/>
            <w:vAlign w:val="center"/>
          </w:tcPr>
          <w:p w:rsidR="00DF3904" w:rsidRPr="00DF3904" w:rsidRDefault="00DF3904" w:rsidP="00724D70">
            <w:pPr>
              <w:pStyle w:val="Standardtableparagraph"/>
              <w:jc w:val="center"/>
            </w:pPr>
            <w:r w:rsidRPr="00DF3904">
              <w:t>0.6</w:t>
            </w:r>
          </w:p>
        </w:tc>
        <w:tc>
          <w:tcPr>
            <w:tcW w:w="2177" w:type="dxa"/>
            <w:shd w:val="clear" w:color="auto" w:fill="auto"/>
            <w:vAlign w:val="center"/>
          </w:tcPr>
          <w:p w:rsidR="00DF3904" w:rsidRPr="00DF3904" w:rsidRDefault="00DF3904" w:rsidP="00724D70">
            <w:pPr>
              <w:pStyle w:val="Standardtableparagraph"/>
              <w:jc w:val="center"/>
            </w:pPr>
            <w:r w:rsidRPr="00DF3904">
              <w:t>0</w:t>
            </w:r>
          </w:p>
        </w:tc>
      </w:tr>
      <w:tr w:rsidR="00DF3904" w:rsidRPr="00DF3904" w:rsidTr="000A2979">
        <w:tc>
          <w:tcPr>
            <w:tcW w:w="2310" w:type="dxa"/>
            <w:shd w:val="clear" w:color="auto" w:fill="auto"/>
            <w:vAlign w:val="center"/>
          </w:tcPr>
          <w:p w:rsidR="00DF3904" w:rsidRPr="00DF3904" w:rsidRDefault="00DF3904" w:rsidP="00724D70">
            <w:pPr>
              <w:pStyle w:val="Standardtableparagraph"/>
              <w:jc w:val="center"/>
            </w:pPr>
            <w:r w:rsidRPr="00DF3904">
              <w:t>55</w:t>
            </w:r>
          </w:p>
        </w:tc>
        <w:tc>
          <w:tcPr>
            <w:tcW w:w="2311" w:type="dxa"/>
            <w:shd w:val="clear" w:color="auto" w:fill="auto"/>
            <w:vAlign w:val="center"/>
          </w:tcPr>
          <w:p w:rsidR="00DF3904" w:rsidRPr="00DF3904" w:rsidRDefault="00DF3904" w:rsidP="00724D70">
            <w:pPr>
              <w:pStyle w:val="Standardtableparagraph"/>
              <w:jc w:val="center"/>
            </w:pPr>
            <w:r w:rsidRPr="00DF3904">
              <w:t>+5</w:t>
            </w:r>
          </w:p>
        </w:tc>
        <w:tc>
          <w:tcPr>
            <w:tcW w:w="2310" w:type="dxa"/>
            <w:shd w:val="clear" w:color="auto" w:fill="auto"/>
            <w:vAlign w:val="center"/>
          </w:tcPr>
          <w:p w:rsidR="00DF3904" w:rsidRPr="00DF3904" w:rsidRDefault="00DF3904" w:rsidP="00724D70">
            <w:pPr>
              <w:pStyle w:val="Standardtableparagraph"/>
              <w:jc w:val="center"/>
            </w:pPr>
            <w:r w:rsidRPr="00DF3904">
              <w:t>0.1</w:t>
            </w:r>
          </w:p>
        </w:tc>
        <w:tc>
          <w:tcPr>
            <w:tcW w:w="2177" w:type="dxa"/>
            <w:shd w:val="clear" w:color="auto" w:fill="auto"/>
            <w:vAlign w:val="center"/>
          </w:tcPr>
          <w:p w:rsidR="00DF3904" w:rsidRPr="00DF3904" w:rsidRDefault="00DF3904" w:rsidP="00724D70">
            <w:pPr>
              <w:pStyle w:val="Standardtableparagraph"/>
              <w:jc w:val="center"/>
            </w:pPr>
            <w:r w:rsidRPr="00DF3904">
              <w:t>+0.5</w:t>
            </w:r>
          </w:p>
        </w:tc>
      </w:tr>
      <w:tr w:rsidR="00DF3904" w:rsidRPr="00DF3904" w:rsidTr="000A2979">
        <w:tc>
          <w:tcPr>
            <w:tcW w:w="2310" w:type="dxa"/>
            <w:shd w:val="clear" w:color="auto" w:fill="auto"/>
            <w:vAlign w:val="center"/>
          </w:tcPr>
          <w:p w:rsidR="00DF3904" w:rsidRPr="00DF3904" w:rsidRDefault="00DF3904" w:rsidP="00724D70">
            <w:pPr>
              <w:pStyle w:val="Standardtableparagraph"/>
              <w:jc w:val="center"/>
            </w:pPr>
            <w:r w:rsidRPr="00DF3904">
              <w:t>60</w:t>
            </w:r>
          </w:p>
        </w:tc>
        <w:tc>
          <w:tcPr>
            <w:tcW w:w="2311" w:type="dxa"/>
            <w:shd w:val="clear" w:color="auto" w:fill="auto"/>
            <w:vAlign w:val="center"/>
          </w:tcPr>
          <w:p w:rsidR="00DF3904" w:rsidRPr="00DF3904" w:rsidRDefault="00DF3904" w:rsidP="00724D70">
            <w:pPr>
              <w:pStyle w:val="Standardtableparagraph"/>
              <w:jc w:val="center"/>
            </w:pPr>
            <w:r w:rsidRPr="00DF3904">
              <w:t>+10</w:t>
            </w:r>
          </w:p>
        </w:tc>
        <w:tc>
          <w:tcPr>
            <w:tcW w:w="2310" w:type="dxa"/>
            <w:shd w:val="clear" w:color="auto" w:fill="auto"/>
            <w:vAlign w:val="center"/>
          </w:tcPr>
          <w:p w:rsidR="00DF3904" w:rsidRPr="00DF3904" w:rsidRDefault="00DF3904" w:rsidP="00724D70">
            <w:pPr>
              <w:pStyle w:val="Standardtableparagraph"/>
              <w:jc w:val="center"/>
            </w:pPr>
            <w:r w:rsidRPr="00DF3904">
              <w:t>0.1</w:t>
            </w:r>
          </w:p>
        </w:tc>
        <w:tc>
          <w:tcPr>
            <w:tcW w:w="2177" w:type="dxa"/>
            <w:shd w:val="clear" w:color="auto" w:fill="auto"/>
            <w:vAlign w:val="center"/>
          </w:tcPr>
          <w:p w:rsidR="00DF3904" w:rsidRPr="00DF3904" w:rsidRDefault="00DF3904" w:rsidP="00724D70">
            <w:pPr>
              <w:pStyle w:val="Standardtableparagraph"/>
              <w:jc w:val="center"/>
            </w:pPr>
            <w:r w:rsidRPr="00DF3904">
              <w:t>+1.0</w:t>
            </w:r>
          </w:p>
        </w:tc>
      </w:tr>
      <w:tr w:rsidR="00DF3904" w:rsidRPr="00DF3904" w:rsidTr="000A2979">
        <w:tc>
          <w:tcPr>
            <w:tcW w:w="2310" w:type="dxa"/>
            <w:shd w:val="clear" w:color="auto" w:fill="auto"/>
            <w:vAlign w:val="center"/>
          </w:tcPr>
          <w:p w:rsidR="00DF3904" w:rsidRPr="00DF3904" w:rsidRDefault="00DF3904" w:rsidP="00724D70">
            <w:pPr>
              <w:pStyle w:val="Standardtableparagraph"/>
              <w:jc w:val="center"/>
            </w:pPr>
            <w:r w:rsidRPr="00DF3904">
              <w:t>65</w:t>
            </w:r>
          </w:p>
        </w:tc>
        <w:tc>
          <w:tcPr>
            <w:tcW w:w="2311" w:type="dxa"/>
            <w:shd w:val="clear" w:color="auto" w:fill="auto"/>
            <w:vAlign w:val="center"/>
          </w:tcPr>
          <w:p w:rsidR="00DF3904" w:rsidRPr="00DF3904" w:rsidRDefault="00DF3904" w:rsidP="00724D70">
            <w:pPr>
              <w:pStyle w:val="Standardtableparagraph"/>
              <w:jc w:val="center"/>
            </w:pPr>
            <w:r w:rsidRPr="00DF3904">
              <w:t>+15</w:t>
            </w:r>
          </w:p>
        </w:tc>
        <w:tc>
          <w:tcPr>
            <w:tcW w:w="2310" w:type="dxa"/>
            <w:shd w:val="clear" w:color="auto" w:fill="auto"/>
            <w:vAlign w:val="center"/>
          </w:tcPr>
          <w:p w:rsidR="00DF3904" w:rsidRPr="00DF3904" w:rsidRDefault="00DF3904" w:rsidP="00724D70">
            <w:pPr>
              <w:pStyle w:val="Standardtableparagraph"/>
              <w:jc w:val="center"/>
            </w:pPr>
            <w:r w:rsidRPr="00DF3904">
              <w:t>0.1</w:t>
            </w:r>
          </w:p>
        </w:tc>
        <w:tc>
          <w:tcPr>
            <w:tcW w:w="2177" w:type="dxa"/>
            <w:shd w:val="clear" w:color="auto" w:fill="auto"/>
            <w:vAlign w:val="center"/>
          </w:tcPr>
          <w:p w:rsidR="00DF3904" w:rsidRPr="00DF3904" w:rsidRDefault="00DF3904" w:rsidP="00724D70">
            <w:pPr>
              <w:pStyle w:val="Standardtableparagraph"/>
              <w:jc w:val="center"/>
            </w:pPr>
            <w:r w:rsidRPr="00DF3904">
              <w:t>+1.5</w:t>
            </w:r>
          </w:p>
        </w:tc>
      </w:tr>
      <w:tr w:rsidR="00DF3904" w:rsidRPr="00DF3904" w:rsidTr="000A2979">
        <w:tc>
          <w:tcPr>
            <w:tcW w:w="9108" w:type="dxa"/>
            <w:gridSpan w:val="4"/>
            <w:shd w:val="clear" w:color="auto" w:fill="auto"/>
          </w:tcPr>
          <w:p w:rsidR="00644F2A" w:rsidRDefault="00DF3904" w:rsidP="000A2979">
            <w:pPr>
              <w:pStyle w:val="Standardtableparagraph"/>
            </w:pPr>
            <w:r w:rsidRPr="00DF3904">
              <w:t xml:space="preserve">The most likely outcome is that of no extra cost, as this outcome has the highest </w:t>
            </w:r>
            <w:r w:rsidR="00CE1EC2">
              <w:t>likelihood</w:t>
            </w:r>
            <w:r w:rsidR="00CE1EC2" w:rsidRPr="00DF3904">
              <w:t xml:space="preserve"> </w:t>
            </w:r>
            <w:r w:rsidRPr="00DF3904">
              <w:t xml:space="preserve">(60%). However, the expected outcome – the sum of each possible outcome multiplied by its </w:t>
            </w:r>
            <w:r w:rsidR="00CE1EC2">
              <w:t>likelihood</w:t>
            </w:r>
            <w:r w:rsidR="00CE1EC2" w:rsidRPr="00DF3904">
              <w:t xml:space="preserve"> </w:t>
            </w:r>
            <w:r w:rsidRPr="00DF3904">
              <w:t>– is an additional cost of £2.5 million. This needs to be calculated in NPV terms, taking into account the time period over which the risk occurs.</w:t>
            </w:r>
          </w:p>
        </w:tc>
      </w:tr>
    </w:tbl>
    <w:p w:rsidR="00DF3904" w:rsidRDefault="00DF3904" w:rsidP="000A2979">
      <w:pPr>
        <w:pStyle w:val="NoSpacing"/>
      </w:pPr>
    </w:p>
    <w:p w:rsidR="00DF3904" w:rsidRPr="00D84831" w:rsidRDefault="009A211A" w:rsidP="000A2979">
      <w:pPr>
        <w:pStyle w:val="Heading3"/>
      </w:pPr>
      <w:r w:rsidRPr="009A211A">
        <w:t>Monte Carlo or Latin Hypercube</w:t>
      </w:r>
      <w:r w:rsidR="000A2979">
        <w:t xml:space="preserve"> simulation</w:t>
      </w:r>
    </w:p>
    <w:p w:rsidR="00DF3904" w:rsidRDefault="000A2979" w:rsidP="000A2979">
      <w:pPr>
        <w:pStyle w:val="Standardparagraph"/>
      </w:pPr>
      <w:r>
        <w:t>It is unlikely that all r</w:t>
      </w:r>
      <w:r w:rsidR="00CE1EC2">
        <w:t>isk items will occur and t</w:t>
      </w:r>
      <w:r w:rsidR="00DF3904" w:rsidRPr="00DF3904">
        <w:t>here are a variety of packages available that take the analysis of risk a step further, using probability distribution.</w:t>
      </w:r>
    </w:p>
    <w:p w:rsidR="00820616" w:rsidRPr="00DF3904" w:rsidRDefault="00820616" w:rsidP="000A2979">
      <w:pPr>
        <w:pStyle w:val="Standardparagraph"/>
      </w:pPr>
      <w:r>
        <w:t>Information included in the Risk Register detailing risks, likelihood and consequence (lowest cost impact, most likely cost impact and highest cost impact) are fed into the Monte Carlo or Latin Hypercube IT programmes which then calculate an overall cost of the risk. Generally the programme is run several times to avoid any “rogue” results being included thereafter in the process.</w:t>
      </w:r>
    </w:p>
    <w:p w:rsidR="00DF3904" w:rsidRPr="00DF3904" w:rsidRDefault="00DF3904" w:rsidP="000A2979">
      <w:pPr>
        <w:pStyle w:val="Standardparagraph"/>
      </w:pPr>
      <w:r w:rsidRPr="00DF3904">
        <w:rPr>
          <w:b/>
        </w:rPr>
        <w:lastRenderedPageBreak/>
        <w:t>Monte Carlo</w:t>
      </w:r>
      <w:r w:rsidRPr="00DF3904">
        <w:t xml:space="preserve"> analysis is a risk modelling technique that presents both the range as well as the expected value of the collective impact of various risks. It is useful when there are many variables with significant uncertainties. However, expert advice is required to ensure it is applied properly, especially when risks are not independent of each other. </w:t>
      </w:r>
    </w:p>
    <w:p w:rsidR="00644F2A" w:rsidRDefault="00DF3904" w:rsidP="000A2979">
      <w:pPr>
        <w:pStyle w:val="Standardparagraph"/>
        <w:rPr>
          <w:b/>
          <w:color w:val="000000"/>
          <w:szCs w:val="24"/>
          <w:lang w:eastAsia="en-GB"/>
        </w:rPr>
      </w:pPr>
      <w:r w:rsidRPr="00DF3904">
        <w:rPr>
          <w:b/>
        </w:rPr>
        <w:t>Latin Hypercube</w:t>
      </w:r>
      <w:r w:rsidRPr="00DF3904">
        <w:t xml:space="preserve"> is designed to reproduce accurately the input distribution through sampling using </w:t>
      </w:r>
      <w:proofErr w:type="gramStart"/>
      <w:r w:rsidRPr="00DF3904">
        <w:t>fewer iterations</w:t>
      </w:r>
      <w:proofErr w:type="gramEnd"/>
      <w:r w:rsidRPr="00DF3904">
        <w:t xml:space="preserve"> compared with the Monte Carlo approach.</w:t>
      </w:r>
    </w:p>
    <w:p w:rsidR="008558F6" w:rsidRDefault="000C546E" w:rsidP="000A2979">
      <w:pPr>
        <w:pStyle w:val="Heading3"/>
        <w:rPr>
          <w:rFonts w:eastAsia="Times New Roman"/>
          <w:lang w:eastAsia="en-GB"/>
        </w:rPr>
      </w:pPr>
      <w:r>
        <w:rPr>
          <w:rFonts w:eastAsia="Times New Roman"/>
          <w:lang w:eastAsia="en-GB"/>
        </w:rPr>
        <w:t>Testing of risk quantified</w:t>
      </w:r>
      <w:r w:rsidR="00CA036F">
        <w:rPr>
          <w:rFonts w:eastAsia="Times New Roman"/>
          <w:lang w:eastAsia="en-GB"/>
        </w:rPr>
        <w:t xml:space="preserve"> allowances</w:t>
      </w:r>
    </w:p>
    <w:p w:rsidR="000C546E" w:rsidRDefault="00CA036F" w:rsidP="00CA036F">
      <w:pPr>
        <w:pStyle w:val="Standardparagraph"/>
        <w:rPr>
          <w:lang w:eastAsia="en-GB"/>
        </w:rPr>
      </w:pPr>
      <w:r>
        <w:rPr>
          <w:lang w:eastAsia="en-GB"/>
        </w:rPr>
        <w:t>A problem that can arise when using a bottom-up approach to the quantification of risk is that the more comprehensive the project’s risk register is</w:t>
      </w:r>
      <w:r w:rsidR="00724D70">
        <w:rPr>
          <w:lang w:eastAsia="en-GB"/>
        </w:rPr>
        <w:t>,</w:t>
      </w:r>
      <w:r>
        <w:rPr>
          <w:lang w:eastAsia="en-GB"/>
        </w:rPr>
        <w:t xml:space="preserve"> the greater </w:t>
      </w:r>
      <w:r w:rsidR="00724D70">
        <w:rPr>
          <w:lang w:eastAsia="en-GB"/>
        </w:rPr>
        <w:t xml:space="preserve">the </w:t>
      </w:r>
      <w:r>
        <w:rPr>
          <w:lang w:eastAsia="en-GB"/>
        </w:rPr>
        <w:t>potential to develop a similar</w:t>
      </w:r>
      <w:r w:rsidR="000C546E">
        <w:rPr>
          <w:lang w:eastAsia="en-GB"/>
        </w:rPr>
        <w:t xml:space="preserve">ly comprehensive list of </w:t>
      </w:r>
      <w:r>
        <w:rPr>
          <w:lang w:eastAsia="en-GB"/>
        </w:rPr>
        <w:t>risk</w:t>
      </w:r>
      <w:r w:rsidR="00724D70">
        <w:rPr>
          <w:lang w:eastAsia="en-GB"/>
        </w:rPr>
        <w:t xml:space="preserve"> costs</w:t>
      </w:r>
      <w:r>
        <w:rPr>
          <w:lang w:eastAsia="en-GB"/>
        </w:rPr>
        <w:t xml:space="preserve"> and thus an abnormally high risk</w:t>
      </w:r>
      <w:r w:rsidR="00724D70">
        <w:rPr>
          <w:lang w:eastAsia="en-GB"/>
        </w:rPr>
        <w:t xml:space="preserve"> contingency</w:t>
      </w:r>
      <w:r>
        <w:rPr>
          <w:lang w:eastAsia="en-GB"/>
        </w:rPr>
        <w:t>.</w:t>
      </w:r>
      <w:r w:rsidR="000C546E">
        <w:rPr>
          <w:lang w:eastAsia="en-GB"/>
        </w:rPr>
        <w:t xml:space="preserve">  </w:t>
      </w:r>
    </w:p>
    <w:p w:rsidR="00CA036F" w:rsidRPr="00CA036F" w:rsidRDefault="000C546E" w:rsidP="00CA036F">
      <w:pPr>
        <w:pStyle w:val="Standardparagraph"/>
        <w:rPr>
          <w:lang w:eastAsia="en-GB"/>
        </w:rPr>
      </w:pPr>
      <w:r>
        <w:rPr>
          <w:lang w:eastAsia="en-GB"/>
        </w:rPr>
        <w:t>The most reliable way to crosscheck the scale of the overall risk allowance is to integrate it with the project base cost and then compare it with out-turn data from comparable projects</w:t>
      </w:r>
      <w:r w:rsidR="00724D70">
        <w:rPr>
          <w:lang w:eastAsia="en-GB"/>
        </w:rPr>
        <w:t xml:space="preserve"> at similar stages of development</w:t>
      </w:r>
      <w:r>
        <w:rPr>
          <w:lang w:eastAsia="en-GB"/>
        </w:rPr>
        <w:t>.  If these benchmark costs are significantly higher or lower than the project estimate, this suggests that it would be prudent to include an adjustment to the bottom-up calculation used to i</w:t>
      </w:r>
      <w:r w:rsidR="00724D70">
        <w:rPr>
          <w:lang w:eastAsia="en-GB"/>
        </w:rPr>
        <w:t>nform the project risk contingency</w:t>
      </w:r>
      <w:r>
        <w:rPr>
          <w:lang w:eastAsia="en-GB"/>
        </w:rPr>
        <w:t>.</w:t>
      </w:r>
    </w:p>
    <w:p w:rsidR="00CA036F" w:rsidRDefault="00CA036F">
      <w:pPr>
        <w:rPr>
          <w:rFonts w:ascii="Arial" w:eastAsia="Times New Roman" w:hAnsi="Arial" w:cstheme="majorBidi"/>
          <w:b/>
          <w:bCs/>
          <w:color w:val="000000" w:themeColor="text1"/>
          <w:sz w:val="28"/>
          <w:szCs w:val="28"/>
          <w:lang w:eastAsia="en-GB"/>
        </w:rPr>
      </w:pPr>
      <w:r>
        <w:rPr>
          <w:rFonts w:eastAsia="Times New Roman"/>
          <w:lang w:eastAsia="en-GB"/>
        </w:rPr>
        <w:br w:type="page"/>
      </w:r>
    </w:p>
    <w:p w:rsidR="008558F6" w:rsidRDefault="008558F6" w:rsidP="008558F6">
      <w:pPr>
        <w:pStyle w:val="Heading1"/>
        <w:rPr>
          <w:rFonts w:eastAsia="Times New Roman"/>
          <w:lang w:eastAsia="en-GB"/>
        </w:rPr>
      </w:pPr>
      <w:bookmarkStart w:id="20" w:name="_Toc415492012"/>
      <w:r>
        <w:rPr>
          <w:rFonts w:eastAsia="Times New Roman"/>
          <w:lang w:eastAsia="en-GB"/>
        </w:rPr>
        <w:lastRenderedPageBreak/>
        <w:t>Expectations at Business Case Stages</w:t>
      </w:r>
      <w:bookmarkEnd w:id="20"/>
    </w:p>
    <w:p w:rsidR="0035597C" w:rsidRDefault="008558F6" w:rsidP="008558F6">
      <w:pPr>
        <w:pStyle w:val="Standardparagraph"/>
        <w:rPr>
          <w:lang w:eastAsia="en-GB"/>
        </w:rPr>
      </w:pPr>
      <w:r>
        <w:rPr>
          <w:lang w:eastAsia="en-GB"/>
        </w:rPr>
        <w:t>A</w:t>
      </w:r>
      <w:r w:rsidRPr="00B048EB">
        <w:rPr>
          <w:lang w:eastAsia="en-GB"/>
        </w:rPr>
        <w:t>s the project progresses</w:t>
      </w:r>
      <w:r w:rsidR="0035597C">
        <w:rPr>
          <w:lang w:eastAsia="en-GB"/>
        </w:rPr>
        <w:t xml:space="preserve"> from Initial Agreement</w:t>
      </w:r>
      <w:r w:rsidRPr="00B048EB">
        <w:rPr>
          <w:lang w:eastAsia="en-GB"/>
        </w:rPr>
        <w:t xml:space="preserve"> </w:t>
      </w:r>
      <w:r>
        <w:rPr>
          <w:lang w:eastAsia="en-GB"/>
        </w:rPr>
        <w:t>towards OBC and FBC</w:t>
      </w:r>
      <w:r w:rsidRPr="00B048EB">
        <w:rPr>
          <w:lang w:eastAsia="en-GB"/>
        </w:rPr>
        <w:t xml:space="preserve"> Stages</w:t>
      </w:r>
      <w:r w:rsidR="0035597C">
        <w:rPr>
          <w:lang w:eastAsia="en-GB"/>
        </w:rPr>
        <w:t>, the project risk register will mature from an overview of a project’s main strategic</w:t>
      </w:r>
      <w:r w:rsidR="0065488A">
        <w:rPr>
          <w:lang w:eastAsia="en-GB"/>
        </w:rPr>
        <w:t>, organisational and service</w:t>
      </w:r>
      <w:r w:rsidR="0035597C">
        <w:rPr>
          <w:lang w:eastAsia="en-GB"/>
        </w:rPr>
        <w:t xml:space="preserve"> risks towards a more detailed understanding of a project’s design and construction related risks.  The project risk </w:t>
      </w:r>
      <w:r w:rsidR="00724D70">
        <w:rPr>
          <w:lang w:eastAsia="en-GB"/>
        </w:rPr>
        <w:t>contingency</w:t>
      </w:r>
      <w:r w:rsidR="0035597C">
        <w:rPr>
          <w:lang w:eastAsia="en-GB"/>
        </w:rPr>
        <w:t xml:space="preserve"> will develop from an optimism bias allowance towar</w:t>
      </w:r>
      <w:r w:rsidR="00724D70">
        <w:rPr>
          <w:lang w:eastAsia="en-GB"/>
        </w:rPr>
        <w:t xml:space="preserve">ds a fully </w:t>
      </w:r>
      <w:proofErr w:type="spellStart"/>
      <w:r w:rsidR="00724D70">
        <w:rPr>
          <w:lang w:eastAsia="en-GB"/>
        </w:rPr>
        <w:t>costed</w:t>
      </w:r>
      <w:proofErr w:type="spellEnd"/>
      <w:r w:rsidR="00724D70">
        <w:rPr>
          <w:lang w:eastAsia="en-GB"/>
        </w:rPr>
        <w:t xml:space="preserve"> risk contingency</w:t>
      </w:r>
      <w:r w:rsidR="0035597C">
        <w:rPr>
          <w:lang w:eastAsia="en-GB"/>
        </w:rPr>
        <w:t>.  The following provides more information on the different expectations at each business case stage:</w:t>
      </w:r>
    </w:p>
    <w:p w:rsidR="0035597C" w:rsidRDefault="0035597C" w:rsidP="00955D6E">
      <w:pPr>
        <w:pStyle w:val="Heading2"/>
        <w:rPr>
          <w:lang w:eastAsia="en-GB"/>
        </w:rPr>
      </w:pPr>
      <w:bookmarkStart w:id="21" w:name="_Toc415492013"/>
      <w:r>
        <w:rPr>
          <w:lang w:eastAsia="en-GB"/>
        </w:rPr>
        <w:t>Initial Agreement stage</w:t>
      </w:r>
      <w:bookmarkEnd w:id="21"/>
    </w:p>
    <w:p w:rsidR="00724D70" w:rsidRDefault="00724D70" w:rsidP="008558F6">
      <w:pPr>
        <w:pStyle w:val="Standardparagraph"/>
        <w:rPr>
          <w:lang w:eastAsia="en-GB"/>
        </w:rPr>
      </w:pPr>
      <w:r>
        <w:rPr>
          <w:lang w:eastAsia="en-GB"/>
        </w:rPr>
        <w:t>The following steps will provide a guide to the development of a risk management and quantification process appropriate at Initial Agreement stage:</w:t>
      </w:r>
    </w:p>
    <w:p w:rsidR="00724D70" w:rsidRDefault="00724D70" w:rsidP="00724D70">
      <w:pPr>
        <w:pStyle w:val="Standardbullet"/>
      </w:pPr>
      <w:r>
        <w:t>Develop a project risk register by initially identifying the strategic risks associated with the project.  Appendix C provides an indication of typical risks expected to be considered at this stage.</w:t>
      </w:r>
    </w:p>
    <w:p w:rsidR="00724D70" w:rsidRDefault="00724D70" w:rsidP="00724D70">
      <w:pPr>
        <w:pStyle w:val="Standardbullet"/>
      </w:pPr>
      <w:r>
        <w:t>Indicate whether these risks have a financial</w:t>
      </w:r>
      <w:r w:rsidR="009F1A70">
        <w:t xml:space="preserve"> </w:t>
      </w:r>
      <w:r w:rsidR="0065488A">
        <w:t>and/</w:t>
      </w:r>
      <w:r w:rsidR="009F1A70">
        <w:t>or non-financial consequence, or are unquantifiable at this stage.</w:t>
      </w:r>
    </w:p>
    <w:p w:rsidR="009F1A70" w:rsidRDefault="009F1A70" w:rsidP="00724D70">
      <w:pPr>
        <w:pStyle w:val="Standardbullet"/>
      </w:pPr>
      <w:r>
        <w:t>Asse</w:t>
      </w:r>
      <w:r w:rsidR="005C236B">
        <w:t>s</w:t>
      </w:r>
      <w:r>
        <w:t>s</w:t>
      </w:r>
      <w:r w:rsidR="005C236B">
        <w:t xml:space="preserve"> </w:t>
      </w:r>
      <w:r>
        <w:t>each risk to determine its risk rating.</w:t>
      </w:r>
    </w:p>
    <w:p w:rsidR="009F1A70" w:rsidRDefault="009F1A70" w:rsidP="00724D70">
      <w:pPr>
        <w:pStyle w:val="Standardbullet"/>
      </w:pPr>
      <w:r>
        <w:t>Outline the action taken, or to be taken, in controlling each risk.</w:t>
      </w:r>
    </w:p>
    <w:p w:rsidR="009F1A70" w:rsidRDefault="009F1A70" w:rsidP="00724D70">
      <w:pPr>
        <w:pStyle w:val="Standardbullet"/>
      </w:pPr>
      <w:r>
        <w:t>Identify the likely owner type for each risk.</w:t>
      </w:r>
    </w:p>
    <w:p w:rsidR="009F1A70" w:rsidRDefault="001A75D2" w:rsidP="00724D70">
      <w:pPr>
        <w:pStyle w:val="Standardbullet"/>
      </w:pPr>
      <w:r>
        <w:t xml:space="preserve">Where </w:t>
      </w:r>
      <w:r w:rsidR="00FF29DC">
        <w:t xml:space="preserve">appropriate, </w:t>
      </w:r>
      <w:r>
        <w:t>c</w:t>
      </w:r>
      <w:r w:rsidR="009F1A70">
        <w:t>alculate the risk contingency to be added to the project base cost by identifying a</w:t>
      </w:r>
      <w:r w:rsidR="00FF29DC">
        <w:t xml:space="preserve"> suitable </w:t>
      </w:r>
      <w:r w:rsidR="009F1A70">
        <w:t>adjustment for optimism bias.</w:t>
      </w:r>
    </w:p>
    <w:p w:rsidR="009F1A70" w:rsidRDefault="009F1A70" w:rsidP="00724D70">
      <w:pPr>
        <w:pStyle w:val="Standardbullet"/>
      </w:pPr>
      <w:r>
        <w:t>Alternatively, use historic cost data from projects of similar type and stage of development to calculate the combined project base cost and risk contingency.</w:t>
      </w:r>
    </w:p>
    <w:p w:rsidR="009F1A70" w:rsidRDefault="009F1A70" w:rsidP="00724D70">
      <w:pPr>
        <w:pStyle w:val="Standardbullet"/>
      </w:pPr>
      <w:r>
        <w:t>Review the outturn project cost (inclusive of risk contingency) against suitable benchmark costs to confirm that they are reasonably reported.</w:t>
      </w:r>
    </w:p>
    <w:p w:rsidR="00652C80" w:rsidRDefault="00652C80" w:rsidP="00652C80">
      <w:pPr>
        <w:pStyle w:val="Standardbullet"/>
      </w:pPr>
      <w:r>
        <w:t>Follow confirmed governance arrangements for independent review (and reporting) of the project risk register and risk quantification by a senior management governance committee.</w:t>
      </w:r>
    </w:p>
    <w:p w:rsidR="008558F6" w:rsidRDefault="008558F6" w:rsidP="008558F6">
      <w:pPr>
        <w:pStyle w:val="Heading2"/>
        <w:rPr>
          <w:rFonts w:eastAsia="Times New Roman"/>
          <w:lang w:eastAsia="en-GB"/>
        </w:rPr>
      </w:pPr>
      <w:bookmarkStart w:id="22" w:name="_Toc408559413"/>
      <w:bookmarkStart w:id="23" w:name="_Toc415492014"/>
      <w:r>
        <w:rPr>
          <w:rFonts w:eastAsia="Times New Roman"/>
          <w:lang w:eastAsia="en-GB"/>
        </w:rPr>
        <w:lastRenderedPageBreak/>
        <w:t>OBC Stage</w:t>
      </w:r>
      <w:bookmarkEnd w:id="22"/>
      <w:bookmarkEnd w:id="23"/>
    </w:p>
    <w:p w:rsidR="00A756D3" w:rsidRDefault="00A756D3" w:rsidP="00A756D3">
      <w:pPr>
        <w:pStyle w:val="Standardparagraph"/>
        <w:rPr>
          <w:lang w:eastAsia="en-GB"/>
        </w:rPr>
      </w:pPr>
      <w:r>
        <w:rPr>
          <w:lang w:eastAsia="en-GB"/>
        </w:rPr>
        <w:t>The following steps will provide a guide to the development of a risk management and quantification process appropriate at Outline Business Case stage:</w:t>
      </w:r>
    </w:p>
    <w:p w:rsidR="004D0261" w:rsidRDefault="004D0261" w:rsidP="004D0261">
      <w:pPr>
        <w:pStyle w:val="Standardbullet"/>
      </w:pPr>
      <w:r>
        <w:t>Review the existing risk register developed at Initial Agreement stage, update it for any change in assumptions, and record the impact of any control measures.</w:t>
      </w:r>
    </w:p>
    <w:p w:rsidR="0053191A" w:rsidRDefault="0053191A" w:rsidP="00A756D3">
      <w:pPr>
        <w:pStyle w:val="Standardbullet"/>
      </w:pPr>
      <w:r>
        <w:t xml:space="preserve">Add </w:t>
      </w:r>
      <w:r w:rsidR="00295A49">
        <w:t xml:space="preserve">any </w:t>
      </w:r>
      <w:r>
        <w:t>further project specific risks to the risk register.  Appendix D provides an indication of typical risks expected to be considered at this stage.</w:t>
      </w:r>
    </w:p>
    <w:p w:rsidR="0053191A" w:rsidRDefault="0053191A" w:rsidP="00A756D3">
      <w:pPr>
        <w:pStyle w:val="Standardbullet"/>
      </w:pPr>
      <w:r>
        <w:t xml:space="preserve">Update the assessment of each risk as a financial </w:t>
      </w:r>
      <w:r w:rsidR="0065488A">
        <w:t>and/</w:t>
      </w:r>
      <w:r>
        <w:t>or non-financial risk, or confirm that it remains unquantifiable at this stage.  These risks should then be treated as follows:</w:t>
      </w:r>
    </w:p>
    <w:p w:rsidR="0053191A" w:rsidRDefault="0053191A" w:rsidP="0053191A">
      <w:pPr>
        <w:pStyle w:val="Standardbullet"/>
        <w:numPr>
          <w:ilvl w:val="1"/>
          <w:numId w:val="1"/>
        </w:numPr>
      </w:pPr>
      <w:r>
        <w:t>All financial risks shall be used as the basis of the bottom-up quantification of risks for the project risk contingency.</w:t>
      </w:r>
    </w:p>
    <w:p w:rsidR="0053191A" w:rsidRDefault="0053191A" w:rsidP="0053191A">
      <w:pPr>
        <w:pStyle w:val="Standardbullet"/>
        <w:numPr>
          <w:ilvl w:val="1"/>
          <w:numId w:val="1"/>
        </w:numPr>
      </w:pPr>
      <w:r>
        <w:t xml:space="preserve">The </w:t>
      </w:r>
      <w:r w:rsidRPr="0053191A">
        <w:rPr>
          <w:u w:val="single"/>
        </w:rPr>
        <w:t>main</w:t>
      </w:r>
      <w:r>
        <w:t xml:space="preserve"> non-financial risks </w:t>
      </w:r>
      <w:r w:rsidR="004D0261">
        <w:t xml:space="preserve">should be considered </w:t>
      </w:r>
      <w:r>
        <w:t>as part of the non-financial risk appraisal of project options in the Economic Case.</w:t>
      </w:r>
    </w:p>
    <w:p w:rsidR="0053191A" w:rsidRDefault="0053191A" w:rsidP="0053191A">
      <w:pPr>
        <w:pStyle w:val="Standardbullet"/>
        <w:numPr>
          <w:ilvl w:val="1"/>
          <w:numId w:val="1"/>
        </w:numPr>
      </w:pPr>
      <w:r>
        <w:t>Reliance on unquantifiable risks shall be as low as reasonably possible, and replaced with financially quantifiable risks where appropriate to do so.</w:t>
      </w:r>
    </w:p>
    <w:p w:rsidR="0053191A" w:rsidRDefault="0053191A" w:rsidP="0053191A">
      <w:pPr>
        <w:pStyle w:val="Standardbullet"/>
      </w:pPr>
      <w:r>
        <w:t>Provide more detailed information of control measures introduced, their effectiveness, and further measures to take.</w:t>
      </w:r>
    </w:p>
    <w:p w:rsidR="0053191A" w:rsidRDefault="0053191A" w:rsidP="0053191A">
      <w:pPr>
        <w:pStyle w:val="Standardbullet"/>
      </w:pPr>
      <w:r>
        <w:t>Indentify and record the individual owner to be responsible for the control of each risk.</w:t>
      </w:r>
    </w:p>
    <w:p w:rsidR="0053191A" w:rsidRDefault="0053191A" w:rsidP="0053191A">
      <w:pPr>
        <w:pStyle w:val="Standardbullet"/>
      </w:pPr>
      <w:r>
        <w:t>Review the outturn project cost (inclusive of risk contingency) against suitable benchmark costs to confirm that they are reasonably reported.</w:t>
      </w:r>
    </w:p>
    <w:p w:rsidR="004D0261" w:rsidRDefault="004D0261" w:rsidP="004D0261">
      <w:pPr>
        <w:pStyle w:val="Standardbullet"/>
      </w:pPr>
      <w:r>
        <w:t>Follow confirmed governance arrangements for independent review (and reporting) of the project risk register and risk quantification by the project’s Senior Responsible Owner (SRO) or Project / Programme Board.</w:t>
      </w:r>
    </w:p>
    <w:p w:rsidR="00295A49" w:rsidRDefault="00295A49">
      <w:pPr>
        <w:rPr>
          <w:rFonts w:ascii="Arial" w:eastAsia="Times New Roman" w:hAnsi="Arial" w:cstheme="majorBidi"/>
          <w:b/>
          <w:bCs/>
          <w:color w:val="000000" w:themeColor="text1"/>
          <w:sz w:val="24"/>
          <w:szCs w:val="26"/>
          <w:lang w:eastAsia="en-GB"/>
        </w:rPr>
      </w:pPr>
      <w:r>
        <w:rPr>
          <w:rFonts w:eastAsia="Times New Roman"/>
          <w:lang w:eastAsia="en-GB"/>
        </w:rPr>
        <w:br w:type="page"/>
      </w:r>
    </w:p>
    <w:p w:rsidR="00652C80" w:rsidRDefault="00652C80" w:rsidP="00652C80">
      <w:pPr>
        <w:pStyle w:val="Heading2"/>
        <w:rPr>
          <w:rFonts w:eastAsia="Times New Roman"/>
          <w:lang w:eastAsia="en-GB"/>
        </w:rPr>
      </w:pPr>
      <w:bookmarkStart w:id="24" w:name="_Toc415492015"/>
      <w:r>
        <w:rPr>
          <w:rFonts w:eastAsia="Times New Roman"/>
          <w:lang w:eastAsia="en-GB"/>
        </w:rPr>
        <w:lastRenderedPageBreak/>
        <w:t>FBC Stage</w:t>
      </w:r>
      <w:bookmarkEnd w:id="24"/>
    </w:p>
    <w:p w:rsidR="00652C80" w:rsidRDefault="00652C80" w:rsidP="00652C80">
      <w:pPr>
        <w:pStyle w:val="Standardparagraph"/>
        <w:rPr>
          <w:lang w:eastAsia="en-GB"/>
        </w:rPr>
      </w:pPr>
      <w:r>
        <w:rPr>
          <w:lang w:eastAsia="en-GB"/>
        </w:rPr>
        <w:t>The following steps will provide a guide to the continued development of a risk management and quantification process appropriate at Full Business Case stage:</w:t>
      </w:r>
    </w:p>
    <w:p w:rsidR="00652C80" w:rsidRDefault="00652C80" w:rsidP="00652C80">
      <w:pPr>
        <w:pStyle w:val="Standardbullet"/>
      </w:pPr>
      <w:r>
        <w:t xml:space="preserve">Review the existing risk </w:t>
      </w:r>
      <w:r w:rsidR="004071B4">
        <w:t xml:space="preserve">register developed at OBC stage, </w:t>
      </w:r>
      <w:r>
        <w:t>update it fo</w:t>
      </w:r>
      <w:r w:rsidR="004071B4">
        <w:t>r any change in assumptions</w:t>
      </w:r>
      <w:r>
        <w:t xml:space="preserve">, and </w:t>
      </w:r>
      <w:r w:rsidR="004071B4">
        <w:t xml:space="preserve">record </w:t>
      </w:r>
      <w:r>
        <w:t>the impact of any cont</w:t>
      </w:r>
      <w:r w:rsidR="004071B4">
        <w:t>rol measures</w:t>
      </w:r>
      <w:r>
        <w:t>.</w:t>
      </w:r>
    </w:p>
    <w:p w:rsidR="00652C80" w:rsidRDefault="00652C80" w:rsidP="00652C80">
      <w:pPr>
        <w:pStyle w:val="Standardbullet"/>
      </w:pPr>
      <w:r>
        <w:t xml:space="preserve">Add </w:t>
      </w:r>
      <w:r w:rsidR="00FF29DC">
        <w:t xml:space="preserve">any </w:t>
      </w:r>
      <w:r>
        <w:t xml:space="preserve">further project specific risks to the risk register.  </w:t>
      </w:r>
      <w:r w:rsidRPr="001F1F68">
        <w:t>Appendix E</w:t>
      </w:r>
      <w:r>
        <w:t xml:space="preserve"> provides an indication of typical risks expected to be considered at this stage.</w:t>
      </w:r>
    </w:p>
    <w:p w:rsidR="00652C80" w:rsidRDefault="00652C80" w:rsidP="00652C80">
      <w:pPr>
        <w:pStyle w:val="Standardbullet"/>
      </w:pPr>
      <w:r>
        <w:t xml:space="preserve">Update the assessment of each risk as a financial </w:t>
      </w:r>
      <w:r w:rsidR="0065488A">
        <w:t>and/</w:t>
      </w:r>
      <w:r>
        <w:t>or non-financial risk, or confirm that it remains unquantifiable at this stage.  These risks should then be treated as follows:</w:t>
      </w:r>
    </w:p>
    <w:p w:rsidR="00652C80" w:rsidRDefault="00652C80" w:rsidP="00652C80">
      <w:pPr>
        <w:pStyle w:val="Standardbullet"/>
        <w:numPr>
          <w:ilvl w:val="1"/>
          <w:numId w:val="1"/>
        </w:numPr>
      </w:pPr>
      <w:r>
        <w:t xml:space="preserve">Financial risks with a </w:t>
      </w:r>
      <w:r w:rsidR="00FF29DC">
        <w:t xml:space="preserve">high </w:t>
      </w:r>
      <w:r>
        <w:t xml:space="preserve">cost certainty shall be transferred </w:t>
      </w:r>
      <w:r w:rsidR="00295A49">
        <w:t xml:space="preserve">from the project contingency </w:t>
      </w:r>
      <w:r>
        <w:t xml:space="preserve">into the </w:t>
      </w:r>
      <w:r w:rsidR="00295A49">
        <w:t xml:space="preserve">man </w:t>
      </w:r>
      <w:r>
        <w:t>project base cost.  All other financial risks shall be identified within the business case with an explanation as to why they remain within the project contingency, when they are most likely to occur, and how the</w:t>
      </w:r>
      <w:r w:rsidR="00FF29DC">
        <w:t xml:space="preserve">y are to be </w:t>
      </w:r>
      <w:r>
        <w:t>managed</w:t>
      </w:r>
      <w:r w:rsidR="00FF29DC">
        <w:t>.</w:t>
      </w:r>
    </w:p>
    <w:p w:rsidR="00250A73" w:rsidRDefault="00652C80" w:rsidP="00652C80">
      <w:pPr>
        <w:pStyle w:val="Standardbullet"/>
        <w:numPr>
          <w:ilvl w:val="1"/>
          <w:numId w:val="1"/>
        </w:numPr>
      </w:pPr>
      <w:r>
        <w:t xml:space="preserve">Non-financial risks should </w:t>
      </w:r>
      <w:r w:rsidR="00FF29DC">
        <w:t xml:space="preserve">have been </w:t>
      </w:r>
      <w:r>
        <w:t xml:space="preserve">reduced to Low or Medium risk through appropriate control </w:t>
      </w:r>
      <w:r w:rsidR="00FF29DC">
        <w:t>measures; otherwise, an explanation is needed in</w:t>
      </w:r>
      <w:r>
        <w:t xml:space="preserve"> the business case </w:t>
      </w:r>
      <w:r w:rsidR="00FF29DC">
        <w:t xml:space="preserve">as to </w:t>
      </w:r>
      <w:r>
        <w:t xml:space="preserve">why they remain </w:t>
      </w:r>
      <w:proofErr w:type="gramStart"/>
      <w:r>
        <w:t>High</w:t>
      </w:r>
      <w:proofErr w:type="gramEnd"/>
      <w:r>
        <w:t xml:space="preserve"> or Very High</w:t>
      </w:r>
      <w:r w:rsidR="00250A73">
        <w:t>, how the</w:t>
      </w:r>
      <w:r w:rsidR="00FF29DC">
        <w:t xml:space="preserve">y </w:t>
      </w:r>
      <w:r w:rsidR="00250A73">
        <w:t xml:space="preserve">are to be monitored and controlled, and whether they </w:t>
      </w:r>
      <w:r w:rsidR="00FF29DC">
        <w:t>are</w:t>
      </w:r>
      <w:r w:rsidR="00250A73">
        <w:t xml:space="preserve"> a burden </w:t>
      </w:r>
      <w:r w:rsidR="00FF29DC">
        <w:t>to t</w:t>
      </w:r>
      <w:r w:rsidR="00250A73">
        <w:t xml:space="preserve">he </w:t>
      </w:r>
      <w:r w:rsidR="00FF29DC">
        <w:t xml:space="preserve">potential </w:t>
      </w:r>
      <w:r w:rsidR="00250A73">
        <w:t>success of the project.</w:t>
      </w:r>
    </w:p>
    <w:p w:rsidR="00250A73" w:rsidRDefault="00250A73" w:rsidP="00652C80">
      <w:pPr>
        <w:pStyle w:val="Standardbullet"/>
        <w:numPr>
          <w:ilvl w:val="1"/>
          <w:numId w:val="1"/>
        </w:numPr>
      </w:pPr>
      <w:r>
        <w:t>Unquantifiable risks should at this stage be minimal, if not eliminated altogether.  Any remaining unquantifiable risks shall be identified within the business case whilst being excluded from the project costs.  Risk ownership will transfer to Scottish Government at this stage.</w:t>
      </w:r>
    </w:p>
    <w:p w:rsidR="00652C80" w:rsidRDefault="00250A73" w:rsidP="00652C80">
      <w:pPr>
        <w:pStyle w:val="Standardbullet"/>
      </w:pPr>
      <w:r>
        <w:t xml:space="preserve">Confirm that all outstanding project risks have an appropriate control measure and individual risk owner associated with it. </w:t>
      </w:r>
    </w:p>
    <w:p w:rsidR="00652C80" w:rsidRDefault="00652C80" w:rsidP="00652C80">
      <w:pPr>
        <w:pStyle w:val="Standardbullet"/>
      </w:pPr>
      <w:r>
        <w:t>Review the outturn project cost (inclusive of risk contingency) against suitable benchmark costs to confirm that they are reasonably reported.</w:t>
      </w:r>
    </w:p>
    <w:p w:rsidR="00FF29DC" w:rsidRDefault="00652C80" w:rsidP="00250A73">
      <w:pPr>
        <w:pStyle w:val="Standardbullet"/>
      </w:pPr>
      <w:r>
        <w:t xml:space="preserve">Follow confirmed governance arrangements for independent review (and reporting) of the project risk register and risk quantification by </w:t>
      </w:r>
      <w:r w:rsidR="00FF29DC">
        <w:t>the SRO.</w:t>
      </w:r>
    </w:p>
    <w:p w:rsidR="00103DE9" w:rsidRDefault="00103DE9" w:rsidP="00EB639F">
      <w:pPr>
        <w:pStyle w:val="Heading1"/>
        <w:rPr>
          <w:rFonts w:eastAsia="Times New Roman"/>
          <w:lang w:eastAsia="en-GB"/>
        </w:rPr>
        <w:sectPr w:rsidR="00103DE9" w:rsidSect="00ED5C94">
          <w:headerReference w:type="default" r:id="rId19"/>
          <w:footerReference w:type="default" r:id="rId20"/>
          <w:pgSz w:w="11906" w:h="16838"/>
          <w:pgMar w:top="1588" w:right="1440" w:bottom="1440" w:left="1440" w:header="709" w:footer="709" w:gutter="0"/>
          <w:pgNumType w:start="1"/>
          <w:cols w:space="708"/>
          <w:docGrid w:linePitch="360"/>
        </w:sectPr>
      </w:pPr>
      <w:bookmarkStart w:id="25" w:name="_Toc408559420"/>
    </w:p>
    <w:p w:rsidR="00644F2A" w:rsidRDefault="00103DE9" w:rsidP="00103DE9">
      <w:pPr>
        <w:pStyle w:val="StandardAppendixHeading"/>
        <w:spacing w:before="120" w:after="120" w:line="240" w:lineRule="auto"/>
      </w:pPr>
      <w:bookmarkStart w:id="26" w:name="_Toc415492016"/>
      <w:r>
        <w:lastRenderedPageBreak/>
        <w:t>Appendix</w:t>
      </w:r>
      <w:r w:rsidR="00EB66A6">
        <w:t xml:space="preserve"> A – </w:t>
      </w:r>
      <w:r w:rsidRPr="009F7A5C">
        <w:t>Risk Consequence Descriptor Table</w:t>
      </w:r>
      <w:bookmarkEnd w:id="25"/>
      <w:bookmarkEnd w:id="26"/>
    </w:p>
    <w:tbl>
      <w:tblPr>
        <w:tblW w:w="15735" w:type="dxa"/>
        <w:tblInd w:w="-885" w:type="dxa"/>
        <w:tblBorders>
          <w:top w:val="single" w:sz="24" w:space="0" w:color="auto"/>
          <w:left w:val="single" w:sz="24" w:space="0" w:color="auto"/>
          <w:bottom w:val="single" w:sz="24" w:space="0" w:color="auto"/>
          <w:right w:val="single" w:sz="24" w:space="0" w:color="auto"/>
          <w:insideH w:val="single" w:sz="2" w:space="0" w:color="auto"/>
          <w:insideV w:val="single" w:sz="2" w:space="0" w:color="auto"/>
        </w:tblBorders>
        <w:tblLook w:val="04A0"/>
      </w:tblPr>
      <w:tblGrid>
        <w:gridCol w:w="2269"/>
        <w:gridCol w:w="2693"/>
        <w:gridCol w:w="2693"/>
        <w:gridCol w:w="2693"/>
        <w:gridCol w:w="2693"/>
        <w:gridCol w:w="2694"/>
      </w:tblGrid>
      <w:tr w:rsidR="00103DE9" w:rsidRPr="009F7A5C" w:rsidTr="00103DE9">
        <w:trPr>
          <w:trHeight w:val="20"/>
        </w:trPr>
        <w:tc>
          <w:tcPr>
            <w:tcW w:w="2269" w:type="dxa"/>
            <w:vAlign w:val="center"/>
          </w:tcPr>
          <w:p w:rsidR="00103DE9" w:rsidRPr="009F7A5C" w:rsidRDefault="00103DE9" w:rsidP="00103DE9">
            <w:pPr>
              <w:spacing w:after="0" w:line="240" w:lineRule="auto"/>
              <w:rPr>
                <w:rFonts w:cs="Arial"/>
                <w:b/>
                <w:sz w:val="18"/>
                <w:szCs w:val="18"/>
              </w:rPr>
            </w:pPr>
            <w:r w:rsidRPr="009F7A5C">
              <w:rPr>
                <w:rFonts w:cs="Arial"/>
                <w:b/>
                <w:sz w:val="18"/>
                <w:szCs w:val="18"/>
              </w:rPr>
              <w:t>Descriptor</w:t>
            </w:r>
          </w:p>
        </w:tc>
        <w:tc>
          <w:tcPr>
            <w:tcW w:w="2693" w:type="dxa"/>
            <w:vAlign w:val="center"/>
          </w:tcPr>
          <w:p w:rsidR="00103DE9" w:rsidRPr="009F7A5C" w:rsidRDefault="00103DE9" w:rsidP="00103DE9">
            <w:pPr>
              <w:spacing w:after="0" w:line="240" w:lineRule="auto"/>
              <w:jc w:val="center"/>
              <w:rPr>
                <w:rFonts w:cs="Arial"/>
                <w:b/>
                <w:sz w:val="18"/>
                <w:szCs w:val="18"/>
              </w:rPr>
            </w:pPr>
            <w:r w:rsidRPr="009F7A5C">
              <w:rPr>
                <w:rFonts w:cs="Arial"/>
                <w:b/>
                <w:sz w:val="18"/>
                <w:szCs w:val="18"/>
              </w:rPr>
              <w:t>Negligible (White)</w:t>
            </w:r>
          </w:p>
        </w:tc>
        <w:tc>
          <w:tcPr>
            <w:tcW w:w="2693" w:type="dxa"/>
            <w:shd w:val="clear" w:color="auto" w:fill="00FF00"/>
            <w:vAlign w:val="center"/>
          </w:tcPr>
          <w:p w:rsidR="00103DE9" w:rsidRPr="00103DE9" w:rsidRDefault="00103DE9" w:rsidP="00103DE9">
            <w:pPr>
              <w:spacing w:after="0" w:line="240" w:lineRule="auto"/>
              <w:jc w:val="center"/>
              <w:rPr>
                <w:rFonts w:cs="Arial"/>
                <w:b/>
                <w:color w:val="000000" w:themeColor="text1"/>
                <w:sz w:val="18"/>
                <w:szCs w:val="18"/>
              </w:rPr>
            </w:pPr>
            <w:r w:rsidRPr="00103DE9">
              <w:rPr>
                <w:rFonts w:cs="Arial"/>
                <w:b/>
                <w:color w:val="000000" w:themeColor="text1"/>
                <w:sz w:val="18"/>
                <w:szCs w:val="18"/>
              </w:rPr>
              <w:t>Minor (Green)</w:t>
            </w:r>
          </w:p>
        </w:tc>
        <w:tc>
          <w:tcPr>
            <w:tcW w:w="2693" w:type="dxa"/>
            <w:shd w:val="clear" w:color="auto" w:fill="FFFF00"/>
            <w:vAlign w:val="center"/>
          </w:tcPr>
          <w:p w:rsidR="00103DE9" w:rsidRPr="009F7A5C" w:rsidRDefault="00103DE9" w:rsidP="00103DE9">
            <w:pPr>
              <w:spacing w:after="0" w:line="240" w:lineRule="auto"/>
              <w:jc w:val="center"/>
              <w:rPr>
                <w:rFonts w:cs="Arial"/>
                <w:b/>
                <w:sz w:val="18"/>
                <w:szCs w:val="18"/>
              </w:rPr>
            </w:pPr>
            <w:r w:rsidRPr="009F7A5C">
              <w:rPr>
                <w:rFonts w:cs="Arial"/>
                <w:b/>
                <w:sz w:val="18"/>
                <w:szCs w:val="18"/>
              </w:rPr>
              <w:t>Moderate (Yellow)</w:t>
            </w:r>
          </w:p>
        </w:tc>
        <w:tc>
          <w:tcPr>
            <w:tcW w:w="2693" w:type="dxa"/>
            <w:shd w:val="clear" w:color="auto" w:fill="FF9900"/>
            <w:vAlign w:val="center"/>
          </w:tcPr>
          <w:p w:rsidR="00103DE9" w:rsidRPr="009F7A5C" w:rsidRDefault="00103DE9" w:rsidP="00103DE9">
            <w:pPr>
              <w:spacing w:after="0" w:line="240" w:lineRule="auto"/>
              <w:jc w:val="center"/>
              <w:rPr>
                <w:rFonts w:cs="Arial"/>
                <w:b/>
                <w:sz w:val="18"/>
                <w:szCs w:val="18"/>
              </w:rPr>
            </w:pPr>
            <w:r w:rsidRPr="009F7A5C">
              <w:rPr>
                <w:rFonts w:cs="Arial"/>
                <w:b/>
                <w:sz w:val="18"/>
                <w:szCs w:val="18"/>
              </w:rPr>
              <w:t>Major (Amber)</w:t>
            </w:r>
          </w:p>
        </w:tc>
        <w:tc>
          <w:tcPr>
            <w:tcW w:w="2694" w:type="dxa"/>
            <w:shd w:val="clear" w:color="auto" w:fill="FF0000"/>
            <w:vAlign w:val="center"/>
          </w:tcPr>
          <w:p w:rsidR="00103DE9" w:rsidRPr="009F7A5C" w:rsidRDefault="00103DE9" w:rsidP="00103DE9">
            <w:pPr>
              <w:spacing w:after="0" w:line="240" w:lineRule="auto"/>
              <w:jc w:val="center"/>
              <w:rPr>
                <w:rFonts w:cs="Arial"/>
                <w:b/>
                <w:color w:val="FFFFFF"/>
                <w:sz w:val="18"/>
                <w:szCs w:val="18"/>
              </w:rPr>
            </w:pPr>
            <w:r w:rsidRPr="009F7A5C">
              <w:rPr>
                <w:rFonts w:cs="Arial"/>
                <w:b/>
                <w:color w:val="FFFFFF"/>
                <w:sz w:val="18"/>
                <w:szCs w:val="18"/>
              </w:rPr>
              <w:t>Extreme (Red)</w:t>
            </w:r>
          </w:p>
        </w:tc>
      </w:tr>
      <w:tr w:rsidR="00103DE9" w:rsidRPr="009F7A5C" w:rsidTr="00103DE9">
        <w:trPr>
          <w:trHeight w:val="20"/>
        </w:trPr>
        <w:tc>
          <w:tcPr>
            <w:tcW w:w="2269" w:type="dxa"/>
          </w:tcPr>
          <w:p w:rsidR="00103DE9" w:rsidRPr="009F7A5C" w:rsidRDefault="00103DE9" w:rsidP="00103DE9">
            <w:pPr>
              <w:spacing w:after="0" w:line="240" w:lineRule="auto"/>
              <w:rPr>
                <w:rFonts w:cs="Arial"/>
                <w:b/>
                <w:sz w:val="18"/>
                <w:szCs w:val="18"/>
              </w:rPr>
            </w:pPr>
            <w:r w:rsidRPr="009F7A5C">
              <w:rPr>
                <w:rFonts w:cs="Arial"/>
                <w:b/>
                <w:sz w:val="18"/>
                <w:szCs w:val="18"/>
              </w:rPr>
              <w:t>Patient Experience</w:t>
            </w:r>
          </w:p>
        </w:tc>
        <w:tc>
          <w:tcPr>
            <w:tcW w:w="2693" w:type="dxa"/>
          </w:tcPr>
          <w:p w:rsidR="00103DE9" w:rsidRPr="009F7A5C" w:rsidRDefault="00103DE9" w:rsidP="00103DE9">
            <w:pPr>
              <w:spacing w:after="0" w:line="240" w:lineRule="auto"/>
              <w:rPr>
                <w:rFonts w:cs="Arial"/>
                <w:b/>
                <w:sz w:val="18"/>
                <w:szCs w:val="18"/>
              </w:rPr>
            </w:pPr>
            <w:r w:rsidRPr="009F7A5C">
              <w:rPr>
                <w:rFonts w:cs="Arial"/>
                <w:b/>
                <w:sz w:val="18"/>
                <w:szCs w:val="18"/>
              </w:rPr>
              <w:t>Reduced quality of patient experience / clinical outcome not directly related to delivery of clinical care.</w:t>
            </w:r>
          </w:p>
        </w:tc>
        <w:tc>
          <w:tcPr>
            <w:tcW w:w="2693" w:type="dxa"/>
            <w:shd w:val="clear" w:color="auto" w:fill="00FF00"/>
          </w:tcPr>
          <w:p w:rsidR="00103DE9" w:rsidRPr="00103DE9" w:rsidRDefault="00103DE9" w:rsidP="00103DE9">
            <w:pPr>
              <w:spacing w:after="0" w:line="240" w:lineRule="auto"/>
              <w:rPr>
                <w:rFonts w:cs="Arial"/>
                <w:b/>
                <w:color w:val="000000" w:themeColor="text1"/>
                <w:sz w:val="18"/>
                <w:szCs w:val="18"/>
              </w:rPr>
            </w:pPr>
            <w:r w:rsidRPr="00103DE9">
              <w:rPr>
                <w:rFonts w:cs="Arial"/>
                <w:b/>
                <w:color w:val="000000" w:themeColor="text1"/>
                <w:sz w:val="18"/>
                <w:szCs w:val="18"/>
              </w:rPr>
              <w:t>Unsatisfactory patient experience / clinical outcome directly related to care provision – readily resolvable.</w:t>
            </w:r>
          </w:p>
        </w:tc>
        <w:tc>
          <w:tcPr>
            <w:tcW w:w="2693" w:type="dxa"/>
            <w:shd w:val="clear" w:color="auto" w:fill="FFFF00"/>
          </w:tcPr>
          <w:p w:rsidR="00103DE9" w:rsidRPr="009F7A5C" w:rsidRDefault="00103DE9" w:rsidP="00103DE9">
            <w:pPr>
              <w:spacing w:after="0" w:line="240" w:lineRule="auto"/>
              <w:rPr>
                <w:rFonts w:cs="Arial"/>
                <w:b/>
                <w:sz w:val="18"/>
                <w:szCs w:val="18"/>
              </w:rPr>
            </w:pPr>
            <w:r w:rsidRPr="009F7A5C">
              <w:rPr>
                <w:rFonts w:cs="Arial"/>
                <w:b/>
                <w:sz w:val="18"/>
                <w:szCs w:val="18"/>
              </w:rPr>
              <w:t>Unsatisfactory patient experience / clinical outcomes; short term effects – expect recovery within 1 week.</w:t>
            </w:r>
          </w:p>
        </w:tc>
        <w:tc>
          <w:tcPr>
            <w:tcW w:w="2693" w:type="dxa"/>
            <w:shd w:val="clear" w:color="auto" w:fill="FF9900"/>
          </w:tcPr>
          <w:p w:rsidR="00103DE9" w:rsidRPr="009F7A5C" w:rsidRDefault="00103DE9" w:rsidP="00103DE9">
            <w:pPr>
              <w:spacing w:after="0" w:line="240" w:lineRule="auto"/>
              <w:rPr>
                <w:rFonts w:cs="Arial"/>
                <w:b/>
                <w:sz w:val="18"/>
                <w:szCs w:val="18"/>
              </w:rPr>
            </w:pPr>
            <w:r w:rsidRPr="009F7A5C">
              <w:rPr>
                <w:rFonts w:cs="Arial"/>
                <w:b/>
                <w:sz w:val="18"/>
                <w:szCs w:val="18"/>
              </w:rPr>
              <w:t>Unsatisfactory patient experience / clinical outcomes; long term effects – expect recovery longer than 1 week.</w:t>
            </w:r>
          </w:p>
        </w:tc>
        <w:tc>
          <w:tcPr>
            <w:tcW w:w="2694" w:type="dxa"/>
            <w:shd w:val="clear" w:color="auto" w:fill="FF0000"/>
          </w:tcPr>
          <w:p w:rsidR="00103DE9" w:rsidRPr="009F7A5C" w:rsidRDefault="00103DE9" w:rsidP="00103DE9">
            <w:pPr>
              <w:spacing w:after="0" w:line="240" w:lineRule="auto"/>
              <w:rPr>
                <w:rFonts w:cs="Arial"/>
                <w:b/>
                <w:color w:val="FFFFFF"/>
                <w:sz w:val="18"/>
                <w:szCs w:val="18"/>
              </w:rPr>
            </w:pPr>
            <w:r w:rsidRPr="009F7A5C">
              <w:rPr>
                <w:rFonts w:cs="Arial"/>
                <w:b/>
                <w:color w:val="FFFFFF"/>
                <w:sz w:val="18"/>
                <w:szCs w:val="18"/>
              </w:rPr>
              <w:t>Unsatisfactory patient experience / clinical outcomes; continued ongoing long term effect.</w:t>
            </w:r>
          </w:p>
        </w:tc>
      </w:tr>
      <w:tr w:rsidR="00103DE9" w:rsidRPr="009F7A5C" w:rsidTr="00103DE9">
        <w:trPr>
          <w:trHeight w:val="20"/>
        </w:trPr>
        <w:tc>
          <w:tcPr>
            <w:tcW w:w="2269" w:type="dxa"/>
          </w:tcPr>
          <w:p w:rsidR="00103DE9" w:rsidRPr="009F7A5C" w:rsidRDefault="00103DE9" w:rsidP="00103DE9">
            <w:pPr>
              <w:spacing w:after="0" w:line="240" w:lineRule="auto"/>
              <w:rPr>
                <w:rFonts w:cs="Arial"/>
                <w:b/>
                <w:sz w:val="18"/>
                <w:szCs w:val="18"/>
              </w:rPr>
            </w:pPr>
            <w:r w:rsidRPr="009F7A5C">
              <w:rPr>
                <w:rFonts w:cs="Arial"/>
                <w:b/>
                <w:sz w:val="18"/>
                <w:szCs w:val="18"/>
              </w:rPr>
              <w:t>Objectives / Project</w:t>
            </w:r>
          </w:p>
        </w:tc>
        <w:tc>
          <w:tcPr>
            <w:tcW w:w="2693" w:type="dxa"/>
          </w:tcPr>
          <w:p w:rsidR="00103DE9" w:rsidRPr="009F7A5C" w:rsidRDefault="00103DE9" w:rsidP="00103DE9">
            <w:pPr>
              <w:spacing w:after="0" w:line="240" w:lineRule="auto"/>
              <w:rPr>
                <w:rFonts w:cs="Arial"/>
                <w:b/>
                <w:sz w:val="18"/>
                <w:szCs w:val="18"/>
              </w:rPr>
            </w:pPr>
            <w:r w:rsidRPr="009F7A5C">
              <w:rPr>
                <w:rFonts w:cs="Arial"/>
                <w:b/>
                <w:sz w:val="18"/>
                <w:szCs w:val="18"/>
              </w:rPr>
              <w:t>Barely noticeable reduction in scope, quality or schedule.</w:t>
            </w:r>
          </w:p>
        </w:tc>
        <w:tc>
          <w:tcPr>
            <w:tcW w:w="2693" w:type="dxa"/>
            <w:shd w:val="clear" w:color="auto" w:fill="00FF00"/>
          </w:tcPr>
          <w:p w:rsidR="00103DE9" w:rsidRPr="00103DE9" w:rsidRDefault="00103DE9" w:rsidP="00103DE9">
            <w:pPr>
              <w:spacing w:after="0" w:line="240" w:lineRule="auto"/>
              <w:rPr>
                <w:rFonts w:cs="Arial"/>
                <w:b/>
                <w:color w:val="000000" w:themeColor="text1"/>
                <w:sz w:val="18"/>
                <w:szCs w:val="18"/>
              </w:rPr>
            </w:pPr>
            <w:r w:rsidRPr="00103DE9">
              <w:rPr>
                <w:rFonts w:cs="Arial"/>
                <w:b/>
                <w:color w:val="000000" w:themeColor="text1"/>
                <w:sz w:val="18"/>
                <w:szCs w:val="18"/>
              </w:rPr>
              <w:t>Minor reduction in scope, quality or schedule.</w:t>
            </w:r>
          </w:p>
        </w:tc>
        <w:tc>
          <w:tcPr>
            <w:tcW w:w="2693" w:type="dxa"/>
            <w:shd w:val="clear" w:color="auto" w:fill="FFFF00"/>
          </w:tcPr>
          <w:p w:rsidR="00103DE9" w:rsidRPr="009F7A5C" w:rsidRDefault="00103DE9" w:rsidP="00103DE9">
            <w:pPr>
              <w:spacing w:after="0" w:line="240" w:lineRule="auto"/>
              <w:rPr>
                <w:rFonts w:cs="Arial"/>
                <w:b/>
                <w:sz w:val="18"/>
                <w:szCs w:val="18"/>
              </w:rPr>
            </w:pPr>
            <w:r w:rsidRPr="009F7A5C">
              <w:rPr>
                <w:rFonts w:cs="Arial"/>
                <w:b/>
                <w:sz w:val="18"/>
                <w:szCs w:val="18"/>
              </w:rPr>
              <w:t>Reduction in scope or quality of projects, project objectives or schedule.</w:t>
            </w:r>
          </w:p>
        </w:tc>
        <w:tc>
          <w:tcPr>
            <w:tcW w:w="2693" w:type="dxa"/>
            <w:shd w:val="clear" w:color="auto" w:fill="FF9900"/>
          </w:tcPr>
          <w:p w:rsidR="00103DE9" w:rsidRPr="009F7A5C" w:rsidRDefault="00103DE9" w:rsidP="00103DE9">
            <w:pPr>
              <w:spacing w:after="0" w:line="240" w:lineRule="auto"/>
              <w:rPr>
                <w:rFonts w:cs="Arial"/>
                <w:b/>
                <w:sz w:val="18"/>
                <w:szCs w:val="18"/>
              </w:rPr>
            </w:pPr>
            <w:r w:rsidRPr="009F7A5C">
              <w:rPr>
                <w:rFonts w:cs="Arial"/>
                <w:b/>
                <w:sz w:val="18"/>
                <w:szCs w:val="18"/>
              </w:rPr>
              <w:t>Significant project overrun.</w:t>
            </w:r>
          </w:p>
        </w:tc>
        <w:tc>
          <w:tcPr>
            <w:tcW w:w="2694" w:type="dxa"/>
            <w:shd w:val="clear" w:color="auto" w:fill="FF0000"/>
          </w:tcPr>
          <w:p w:rsidR="00103DE9" w:rsidRPr="009F7A5C" w:rsidRDefault="00103DE9" w:rsidP="00103DE9">
            <w:pPr>
              <w:spacing w:after="0" w:line="240" w:lineRule="auto"/>
              <w:rPr>
                <w:rFonts w:cs="Arial"/>
                <w:b/>
                <w:color w:val="FFFFFF"/>
                <w:sz w:val="18"/>
                <w:szCs w:val="18"/>
              </w:rPr>
            </w:pPr>
            <w:r w:rsidRPr="009F7A5C">
              <w:rPr>
                <w:rFonts w:cs="Arial"/>
                <w:b/>
                <w:color w:val="FFFFFF"/>
                <w:sz w:val="18"/>
                <w:szCs w:val="18"/>
              </w:rPr>
              <w:t>Inability to meet the project objectives; reputation of the organisation seriously damaged.</w:t>
            </w:r>
          </w:p>
        </w:tc>
      </w:tr>
      <w:tr w:rsidR="00103DE9" w:rsidRPr="009F7A5C" w:rsidTr="00103DE9">
        <w:trPr>
          <w:trHeight w:val="20"/>
        </w:trPr>
        <w:tc>
          <w:tcPr>
            <w:tcW w:w="2269" w:type="dxa"/>
          </w:tcPr>
          <w:p w:rsidR="00103DE9" w:rsidRPr="009F7A5C" w:rsidRDefault="00103DE9" w:rsidP="00103DE9">
            <w:pPr>
              <w:spacing w:after="0" w:line="240" w:lineRule="auto"/>
              <w:rPr>
                <w:rFonts w:cs="Arial"/>
                <w:b/>
                <w:sz w:val="18"/>
                <w:szCs w:val="18"/>
              </w:rPr>
            </w:pPr>
            <w:r w:rsidRPr="009F7A5C">
              <w:rPr>
                <w:rFonts w:cs="Arial"/>
                <w:b/>
                <w:sz w:val="18"/>
                <w:szCs w:val="18"/>
              </w:rPr>
              <w:t>Injury (physical and psychological) to patient / visitor / staff</w:t>
            </w:r>
          </w:p>
        </w:tc>
        <w:tc>
          <w:tcPr>
            <w:tcW w:w="2693" w:type="dxa"/>
          </w:tcPr>
          <w:p w:rsidR="00103DE9" w:rsidRPr="009F7A5C" w:rsidRDefault="00103DE9" w:rsidP="00103DE9">
            <w:pPr>
              <w:spacing w:after="0" w:line="240" w:lineRule="auto"/>
              <w:rPr>
                <w:rFonts w:cs="Arial"/>
                <w:b/>
                <w:sz w:val="18"/>
                <w:szCs w:val="18"/>
              </w:rPr>
            </w:pPr>
            <w:r w:rsidRPr="009F7A5C">
              <w:rPr>
                <w:rFonts w:cs="Arial"/>
                <w:b/>
                <w:sz w:val="18"/>
                <w:szCs w:val="18"/>
              </w:rPr>
              <w:t>Adverse event leading to minor injury not requiring first aid.</w:t>
            </w:r>
          </w:p>
        </w:tc>
        <w:tc>
          <w:tcPr>
            <w:tcW w:w="2693" w:type="dxa"/>
            <w:shd w:val="clear" w:color="auto" w:fill="00FF00"/>
          </w:tcPr>
          <w:p w:rsidR="00103DE9" w:rsidRPr="00103DE9" w:rsidRDefault="00103DE9" w:rsidP="00103DE9">
            <w:pPr>
              <w:spacing w:after="0" w:line="240" w:lineRule="auto"/>
              <w:rPr>
                <w:rFonts w:cs="Arial"/>
                <w:b/>
                <w:color w:val="000000" w:themeColor="text1"/>
                <w:sz w:val="18"/>
                <w:szCs w:val="18"/>
              </w:rPr>
            </w:pPr>
            <w:r w:rsidRPr="00103DE9">
              <w:rPr>
                <w:rFonts w:cs="Arial"/>
                <w:b/>
                <w:color w:val="000000" w:themeColor="text1"/>
                <w:sz w:val="18"/>
                <w:szCs w:val="18"/>
              </w:rPr>
              <w:t>Minor injury or illness. First aid treatment required.</w:t>
            </w:r>
          </w:p>
        </w:tc>
        <w:tc>
          <w:tcPr>
            <w:tcW w:w="2693" w:type="dxa"/>
            <w:shd w:val="clear" w:color="auto" w:fill="FFFF00"/>
          </w:tcPr>
          <w:p w:rsidR="00103DE9" w:rsidRPr="009F7A5C" w:rsidRDefault="00103DE9" w:rsidP="00103DE9">
            <w:pPr>
              <w:spacing w:after="0" w:line="240" w:lineRule="auto"/>
              <w:rPr>
                <w:rFonts w:cs="Arial"/>
                <w:b/>
                <w:sz w:val="18"/>
                <w:szCs w:val="18"/>
              </w:rPr>
            </w:pPr>
            <w:r w:rsidRPr="009F7A5C">
              <w:rPr>
                <w:rFonts w:cs="Arial"/>
                <w:b/>
                <w:sz w:val="18"/>
                <w:szCs w:val="18"/>
              </w:rPr>
              <w:t>Agency reportable (</w:t>
            </w:r>
            <w:proofErr w:type="spellStart"/>
            <w:r w:rsidRPr="009F7A5C">
              <w:rPr>
                <w:rFonts w:cs="Arial"/>
                <w:b/>
                <w:sz w:val="18"/>
                <w:szCs w:val="18"/>
              </w:rPr>
              <w:t>e.g</w:t>
            </w:r>
            <w:proofErr w:type="spellEnd"/>
            <w:r w:rsidRPr="009F7A5C">
              <w:rPr>
                <w:rFonts w:cs="Arial"/>
                <w:b/>
                <w:sz w:val="18"/>
                <w:szCs w:val="18"/>
              </w:rPr>
              <w:t xml:space="preserve"> police (violent and aggressive acts).</w:t>
            </w:r>
          </w:p>
          <w:p w:rsidR="00103DE9" w:rsidRPr="009F7A5C" w:rsidRDefault="00103DE9" w:rsidP="00103DE9">
            <w:pPr>
              <w:spacing w:after="0" w:line="240" w:lineRule="auto"/>
              <w:rPr>
                <w:rFonts w:cs="Arial"/>
                <w:b/>
                <w:sz w:val="18"/>
                <w:szCs w:val="18"/>
              </w:rPr>
            </w:pPr>
            <w:r w:rsidRPr="009F7A5C">
              <w:rPr>
                <w:rFonts w:cs="Arial"/>
                <w:b/>
                <w:sz w:val="18"/>
                <w:szCs w:val="18"/>
              </w:rPr>
              <w:t>Significant injury requiring medical treatment and / or counselling.</w:t>
            </w:r>
          </w:p>
        </w:tc>
        <w:tc>
          <w:tcPr>
            <w:tcW w:w="2693" w:type="dxa"/>
            <w:shd w:val="clear" w:color="auto" w:fill="FF9900"/>
          </w:tcPr>
          <w:p w:rsidR="00103DE9" w:rsidRPr="009F7A5C" w:rsidRDefault="00103DE9" w:rsidP="00103DE9">
            <w:pPr>
              <w:spacing w:after="0" w:line="240" w:lineRule="auto"/>
              <w:rPr>
                <w:rFonts w:cs="Arial"/>
                <w:b/>
                <w:sz w:val="18"/>
                <w:szCs w:val="18"/>
              </w:rPr>
            </w:pPr>
            <w:r w:rsidRPr="009F7A5C">
              <w:rPr>
                <w:rFonts w:cs="Arial"/>
                <w:b/>
                <w:sz w:val="18"/>
                <w:szCs w:val="18"/>
              </w:rPr>
              <w:t>Major injuries / long term incapacity or disability (loss of limb) requiring medical treatment and / or counselling.</w:t>
            </w:r>
          </w:p>
        </w:tc>
        <w:tc>
          <w:tcPr>
            <w:tcW w:w="2694" w:type="dxa"/>
            <w:shd w:val="clear" w:color="auto" w:fill="FF0000"/>
          </w:tcPr>
          <w:p w:rsidR="00103DE9" w:rsidRPr="009F7A5C" w:rsidRDefault="00103DE9" w:rsidP="00103DE9">
            <w:pPr>
              <w:spacing w:after="0" w:line="240" w:lineRule="auto"/>
              <w:rPr>
                <w:rFonts w:cs="Arial"/>
                <w:b/>
                <w:color w:val="FFFFFF"/>
                <w:sz w:val="18"/>
                <w:szCs w:val="18"/>
              </w:rPr>
            </w:pPr>
            <w:r w:rsidRPr="009F7A5C">
              <w:rPr>
                <w:rFonts w:cs="Arial"/>
                <w:b/>
                <w:color w:val="FFFFFF"/>
                <w:sz w:val="18"/>
                <w:szCs w:val="18"/>
              </w:rPr>
              <w:t>Incident leading to death or major permanent incapacity.</w:t>
            </w:r>
          </w:p>
        </w:tc>
      </w:tr>
      <w:tr w:rsidR="00103DE9" w:rsidRPr="009F7A5C" w:rsidTr="00103DE9">
        <w:trPr>
          <w:trHeight w:val="20"/>
        </w:trPr>
        <w:tc>
          <w:tcPr>
            <w:tcW w:w="2269" w:type="dxa"/>
          </w:tcPr>
          <w:p w:rsidR="00103DE9" w:rsidRPr="009F7A5C" w:rsidRDefault="00103DE9" w:rsidP="00103DE9">
            <w:pPr>
              <w:spacing w:after="0" w:line="240" w:lineRule="auto"/>
              <w:rPr>
                <w:rFonts w:cs="Arial"/>
                <w:b/>
                <w:sz w:val="18"/>
                <w:szCs w:val="18"/>
              </w:rPr>
            </w:pPr>
            <w:r w:rsidRPr="009F7A5C">
              <w:rPr>
                <w:rFonts w:cs="Arial"/>
                <w:b/>
                <w:sz w:val="18"/>
                <w:szCs w:val="18"/>
              </w:rPr>
              <w:t>Complaints / Claims</w:t>
            </w:r>
          </w:p>
        </w:tc>
        <w:tc>
          <w:tcPr>
            <w:tcW w:w="2693" w:type="dxa"/>
          </w:tcPr>
          <w:p w:rsidR="00103DE9" w:rsidRPr="009F7A5C" w:rsidRDefault="00103DE9" w:rsidP="00103DE9">
            <w:pPr>
              <w:spacing w:after="0" w:line="240" w:lineRule="auto"/>
              <w:rPr>
                <w:rFonts w:cs="Arial"/>
                <w:b/>
                <w:sz w:val="18"/>
                <w:szCs w:val="18"/>
              </w:rPr>
            </w:pPr>
            <w:r w:rsidRPr="009F7A5C">
              <w:rPr>
                <w:rFonts w:cs="Arial"/>
                <w:b/>
                <w:sz w:val="18"/>
                <w:szCs w:val="18"/>
              </w:rPr>
              <w:t>Locally resolved verbal complaint.</w:t>
            </w:r>
          </w:p>
        </w:tc>
        <w:tc>
          <w:tcPr>
            <w:tcW w:w="2693" w:type="dxa"/>
            <w:shd w:val="clear" w:color="auto" w:fill="00FF00"/>
          </w:tcPr>
          <w:p w:rsidR="00103DE9" w:rsidRPr="00103DE9" w:rsidRDefault="00103DE9" w:rsidP="00103DE9">
            <w:pPr>
              <w:spacing w:after="0" w:line="240" w:lineRule="auto"/>
              <w:rPr>
                <w:rFonts w:cs="Arial"/>
                <w:b/>
                <w:color w:val="000000" w:themeColor="text1"/>
                <w:sz w:val="18"/>
                <w:szCs w:val="18"/>
              </w:rPr>
            </w:pPr>
            <w:r w:rsidRPr="00103DE9">
              <w:rPr>
                <w:rFonts w:cs="Arial"/>
                <w:b/>
                <w:color w:val="000000" w:themeColor="text1"/>
                <w:sz w:val="18"/>
                <w:szCs w:val="18"/>
              </w:rPr>
              <w:t>Justified written complaint peripheral to clinical care.</w:t>
            </w:r>
          </w:p>
        </w:tc>
        <w:tc>
          <w:tcPr>
            <w:tcW w:w="2693" w:type="dxa"/>
            <w:shd w:val="clear" w:color="auto" w:fill="FFFF00"/>
          </w:tcPr>
          <w:p w:rsidR="00103DE9" w:rsidRPr="009F7A5C" w:rsidRDefault="00103DE9" w:rsidP="00103DE9">
            <w:pPr>
              <w:spacing w:after="0" w:line="240" w:lineRule="auto"/>
              <w:rPr>
                <w:rFonts w:cs="Arial"/>
                <w:b/>
                <w:sz w:val="18"/>
                <w:szCs w:val="18"/>
              </w:rPr>
            </w:pPr>
            <w:r w:rsidRPr="009F7A5C">
              <w:rPr>
                <w:rFonts w:cs="Arial"/>
                <w:b/>
                <w:sz w:val="18"/>
                <w:szCs w:val="18"/>
              </w:rPr>
              <w:t>Below excess claim. Justified complaint involving lack of appropriate care.</w:t>
            </w:r>
          </w:p>
        </w:tc>
        <w:tc>
          <w:tcPr>
            <w:tcW w:w="2693" w:type="dxa"/>
            <w:shd w:val="clear" w:color="auto" w:fill="FF9900"/>
          </w:tcPr>
          <w:p w:rsidR="00103DE9" w:rsidRPr="009F7A5C" w:rsidRDefault="00103DE9" w:rsidP="00103DE9">
            <w:pPr>
              <w:spacing w:after="0" w:line="240" w:lineRule="auto"/>
              <w:rPr>
                <w:rFonts w:cs="Arial"/>
                <w:b/>
                <w:sz w:val="18"/>
                <w:szCs w:val="18"/>
              </w:rPr>
            </w:pPr>
            <w:r w:rsidRPr="009F7A5C">
              <w:rPr>
                <w:rFonts w:cs="Arial"/>
                <w:b/>
                <w:sz w:val="18"/>
                <w:szCs w:val="18"/>
              </w:rPr>
              <w:t>Claim above expected level. Multiple justifiable complaints.</w:t>
            </w:r>
          </w:p>
        </w:tc>
        <w:tc>
          <w:tcPr>
            <w:tcW w:w="2694" w:type="dxa"/>
            <w:shd w:val="clear" w:color="auto" w:fill="FF0000"/>
          </w:tcPr>
          <w:p w:rsidR="00103DE9" w:rsidRPr="009F7A5C" w:rsidRDefault="00103DE9" w:rsidP="00103DE9">
            <w:pPr>
              <w:spacing w:after="0" w:line="240" w:lineRule="auto"/>
              <w:rPr>
                <w:rFonts w:cs="Arial"/>
                <w:b/>
                <w:color w:val="FFFFFF"/>
                <w:sz w:val="18"/>
                <w:szCs w:val="18"/>
              </w:rPr>
            </w:pPr>
            <w:r w:rsidRPr="009F7A5C">
              <w:rPr>
                <w:rFonts w:cs="Arial"/>
                <w:b/>
                <w:color w:val="FFFFFF"/>
                <w:sz w:val="18"/>
                <w:szCs w:val="18"/>
              </w:rPr>
              <w:t>Multiple claims or single major claim.</w:t>
            </w:r>
          </w:p>
          <w:p w:rsidR="00103DE9" w:rsidRPr="009F7A5C" w:rsidRDefault="00103DE9" w:rsidP="00103DE9">
            <w:pPr>
              <w:spacing w:after="0" w:line="240" w:lineRule="auto"/>
              <w:rPr>
                <w:rFonts w:cs="Arial"/>
                <w:b/>
                <w:color w:val="FFFFFF"/>
                <w:sz w:val="18"/>
                <w:szCs w:val="18"/>
              </w:rPr>
            </w:pPr>
            <w:r w:rsidRPr="009F7A5C">
              <w:rPr>
                <w:rFonts w:cs="Arial"/>
                <w:b/>
                <w:color w:val="FFFFFF"/>
                <w:sz w:val="18"/>
                <w:szCs w:val="18"/>
              </w:rPr>
              <w:t>Complex justified complaint.</w:t>
            </w:r>
          </w:p>
        </w:tc>
      </w:tr>
      <w:tr w:rsidR="00103DE9" w:rsidRPr="009F7A5C" w:rsidTr="00103DE9">
        <w:trPr>
          <w:trHeight w:val="20"/>
        </w:trPr>
        <w:tc>
          <w:tcPr>
            <w:tcW w:w="2269" w:type="dxa"/>
          </w:tcPr>
          <w:p w:rsidR="00103DE9" w:rsidRPr="009F7A5C" w:rsidRDefault="00103DE9" w:rsidP="00103DE9">
            <w:pPr>
              <w:spacing w:after="0" w:line="240" w:lineRule="auto"/>
              <w:rPr>
                <w:rFonts w:cs="Arial"/>
                <w:b/>
                <w:sz w:val="18"/>
                <w:szCs w:val="18"/>
              </w:rPr>
            </w:pPr>
            <w:r w:rsidRPr="009F7A5C">
              <w:rPr>
                <w:rFonts w:cs="Arial"/>
                <w:b/>
                <w:sz w:val="18"/>
                <w:szCs w:val="18"/>
              </w:rPr>
              <w:t>Service / Business Interruption</w:t>
            </w:r>
          </w:p>
        </w:tc>
        <w:tc>
          <w:tcPr>
            <w:tcW w:w="2693" w:type="dxa"/>
          </w:tcPr>
          <w:p w:rsidR="00103DE9" w:rsidRPr="009F7A5C" w:rsidRDefault="00103DE9" w:rsidP="00103DE9">
            <w:pPr>
              <w:spacing w:after="0" w:line="240" w:lineRule="auto"/>
              <w:rPr>
                <w:rFonts w:cs="Arial"/>
                <w:b/>
                <w:sz w:val="18"/>
                <w:szCs w:val="18"/>
              </w:rPr>
            </w:pPr>
            <w:r w:rsidRPr="009F7A5C">
              <w:rPr>
                <w:rFonts w:cs="Arial"/>
                <w:b/>
                <w:sz w:val="18"/>
                <w:szCs w:val="18"/>
              </w:rPr>
              <w:t>Interruption in a service which does not impact on the delivery of patient care or the ability to continue to provide service.</w:t>
            </w:r>
          </w:p>
        </w:tc>
        <w:tc>
          <w:tcPr>
            <w:tcW w:w="2693" w:type="dxa"/>
            <w:shd w:val="clear" w:color="auto" w:fill="00FF00"/>
          </w:tcPr>
          <w:p w:rsidR="00103DE9" w:rsidRPr="00103DE9" w:rsidRDefault="00103DE9" w:rsidP="00103DE9">
            <w:pPr>
              <w:spacing w:after="0" w:line="240" w:lineRule="auto"/>
              <w:rPr>
                <w:rFonts w:cs="Arial"/>
                <w:b/>
                <w:color w:val="000000" w:themeColor="text1"/>
                <w:sz w:val="18"/>
                <w:szCs w:val="18"/>
              </w:rPr>
            </w:pPr>
            <w:r w:rsidRPr="00103DE9">
              <w:rPr>
                <w:rFonts w:cs="Arial"/>
                <w:b/>
                <w:color w:val="000000" w:themeColor="text1"/>
                <w:sz w:val="18"/>
                <w:szCs w:val="18"/>
              </w:rPr>
              <w:t>Short term disruption to service with minor impact on patient care.</w:t>
            </w:r>
          </w:p>
        </w:tc>
        <w:tc>
          <w:tcPr>
            <w:tcW w:w="2693" w:type="dxa"/>
            <w:shd w:val="clear" w:color="auto" w:fill="FFFF00"/>
          </w:tcPr>
          <w:p w:rsidR="00103DE9" w:rsidRPr="009F7A5C" w:rsidRDefault="00103DE9" w:rsidP="00103DE9">
            <w:pPr>
              <w:spacing w:after="0" w:line="240" w:lineRule="auto"/>
              <w:rPr>
                <w:rFonts w:cs="Arial"/>
                <w:b/>
                <w:sz w:val="18"/>
                <w:szCs w:val="18"/>
              </w:rPr>
            </w:pPr>
            <w:r w:rsidRPr="009F7A5C">
              <w:rPr>
                <w:rFonts w:cs="Arial"/>
                <w:b/>
                <w:sz w:val="18"/>
                <w:szCs w:val="18"/>
              </w:rPr>
              <w:t>Some disruption in service with unacceptable impact on patient care.</w:t>
            </w:r>
          </w:p>
          <w:p w:rsidR="00103DE9" w:rsidRPr="009F7A5C" w:rsidRDefault="00103DE9" w:rsidP="00103DE9">
            <w:pPr>
              <w:spacing w:after="0" w:line="240" w:lineRule="auto"/>
              <w:rPr>
                <w:rFonts w:cs="Arial"/>
                <w:b/>
                <w:sz w:val="18"/>
                <w:szCs w:val="18"/>
              </w:rPr>
            </w:pPr>
            <w:r w:rsidRPr="009F7A5C">
              <w:rPr>
                <w:rFonts w:cs="Arial"/>
                <w:b/>
                <w:sz w:val="18"/>
                <w:szCs w:val="18"/>
              </w:rPr>
              <w:t>Temporary loss of ability to provide service.</w:t>
            </w:r>
          </w:p>
        </w:tc>
        <w:tc>
          <w:tcPr>
            <w:tcW w:w="2693" w:type="dxa"/>
            <w:shd w:val="clear" w:color="auto" w:fill="FF9900"/>
          </w:tcPr>
          <w:p w:rsidR="00103DE9" w:rsidRPr="009F7A5C" w:rsidRDefault="00103DE9" w:rsidP="00103DE9">
            <w:pPr>
              <w:spacing w:after="0" w:line="240" w:lineRule="auto"/>
              <w:rPr>
                <w:rFonts w:cs="Arial"/>
                <w:b/>
                <w:sz w:val="18"/>
                <w:szCs w:val="18"/>
              </w:rPr>
            </w:pPr>
            <w:r w:rsidRPr="009F7A5C">
              <w:rPr>
                <w:rFonts w:cs="Arial"/>
                <w:b/>
                <w:sz w:val="18"/>
                <w:szCs w:val="18"/>
              </w:rPr>
              <w:t>Sustained loss of service which has serious impact on delivery of patient care resulting in major contingency plans being invoked.</w:t>
            </w:r>
          </w:p>
        </w:tc>
        <w:tc>
          <w:tcPr>
            <w:tcW w:w="2694" w:type="dxa"/>
            <w:shd w:val="clear" w:color="auto" w:fill="FF0000"/>
          </w:tcPr>
          <w:p w:rsidR="00103DE9" w:rsidRPr="009F7A5C" w:rsidRDefault="00103DE9" w:rsidP="00103DE9">
            <w:pPr>
              <w:spacing w:after="0" w:line="240" w:lineRule="auto"/>
              <w:rPr>
                <w:rFonts w:cs="Arial"/>
                <w:b/>
                <w:color w:val="FFFFFF"/>
                <w:sz w:val="18"/>
                <w:szCs w:val="18"/>
              </w:rPr>
            </w:pPr>
            <w:r w:rsidRPr="009F7A5C">
              <w:rPr>
                <w:rFonts w:cs="Arial"/>
                <w:b/>
                <w:color w:val="FFFFFF"/>
                <w:sz w:val="18"/>
                <w:szCs w:val="18"/>
              </w:rPr>
              <w:t>Permanent loss of core service or facility. Disruption to facility leading to significant “knock on” effect.</w:t>
            </w:r>
          </w:p>
        </w:tc>
      </w:tr>
      <w:tr w:rsidR="00103DE9" w:rsidRPr="009F7A5C" w:rsidTr="00103DE9">
        <w:trPr>
          <w:trHeight w:val="20"/>
        </w:trPr>
        <w:tc>
          <w:tcPr>
            <w:tcW w:w="2269" w:type="dxa"/>
          </w:tcPr>
          <w:p w:rsidR="00103DE9" w:rsidRPr="009F7A5C" w:rsidRDefault="00103DE9" w:rsidP="00103DE9">
            <w:pPr>
              <w:spacing w:after="0" w:line="240" w:lineRule="auto"/>
              <w:rPr>
                <w:rFonts w:cs="Arial"/>
                <w:b/>
                <w:sz w:val="18"/>
                <w:szCs w:val="18"/>
              </w:rPr>
            </w:pPr>
            <w:r w:rsidRPr="009F7A5C">
              <w:rPr>
                <w:rFonts w:cs="Arial"/>
                <w:b/>
                <w:sz w:val="18"/>
                <w:szCs w:val="18"/>
              </w:rPr>
              <w:t>Staffing and Consequences</w:t>
            </w:r>
          </w:p>
        </w:tc>
        <w:tc>
          <w:tcPr>
            <w:tcW w:w="2693" w:type="dxa"/>
          </w:tcPr>
          <w:p w:rsidR="00103DE9" w:rsidRPr="009F7A5C" w:rsidRDefault="00103DE9" w:rsidP="00103DE9">
            <w:pPr>
              <w:spacing w:after="0" w:line="240" w:lineRule="auto"/>
              <w:rPr>
                <w:rFonts w:cs="Arial"/>
                <w:b/>
                <w:sz w:val="18"/>
                <w:szCs w:val="18"/>
              </w:rPr>
            </w:pPr>
            <w:r w:rsidRPr="009F7A5C">
              <w:rPr>
                <w:rFonts w:cs="Arial"/>
                <w:b/>
                <w:sz w:val="18"/>
                <w:szCs w:val="18"/>
              </w:rPr>
              <w:t xml:space="preserve">Short term low staffing </w:t>
            </w:r>
            <w:proofErr w:type="gramStart"/>
            <w:r w:rsidRPr="009F7A5C">
              <w:rPr>
                <w:rFonts w:cs="Arial"/>
                <w:b/>
                <w:sz w:val="18"/>
                <w:szCs w:val="18"/>
              </w:rPr>
              <w:t>level, temporary reduce</w:t>
            </w:r>
            <w:proofErr w:type="gramEnd"/>
            <w:r w:rsidRPr="009F7A5C">
              <w:rPr>
                <w:rFonts w:cs="Arial"/>
                <w:b/>
                <w:sz w:val="18"/>
                <w:szCs w:val="18"/>
              </w:rPr>
              <w:t xml:space="preserve"> service quality (less than 1 day). Short term low staffing level (greater than 1 day), where there is no disruption to patient care.</w:t>
            </w:r>
          </w:p>
        </w:tc>
        <w:tc>
          <w:tcPr>
            <w:tcW w:w="2693" w:type="dxa"/>
            <w:shd w:val="clear" w:color="auto" w:fill="00FF00"/>
          </w:tcPr>
          <w:p w:rsidR="00103DE9" w:rsidRPr="00103DE9" w:rsidRDefault="00103DE9" w:rsidP="00103DE9">
            <w:pPr>
              <w:spacing w:after="0" w:line="240" w:lineRule="auto"/>
              <w:rPr>
                <w:rFonts w:cs="Arial"/>
                <w:b/>
                <w:color w:val="000000" w:themeColor="text1"/>
                <w:sz w:val="18"/>
                <w:szCs w:val="18"/>
              </w:rPr>
            </w:pPr>
            <w:r w:rsidRPr="00103DE9">
              <w:rPr>
                <w:rFonts w:cs="Arial"/>
                <w:b/>
                <w:color w:val="000000" w:themeColor="text1"/>
                <w:sz w:val="18"/>
                <w:szCs w:val="18"/>
              </w:rPr>
              <w:t>Ongoing low staffing level reduces service quality. Minor error due to ineffective training / implementation of training.</w:t>
            </w:r>
          </w:p>
        </w:tc>
        <w:tc>
          <w:tcPr>
            <w:tcW w:w="2693" w:type="dxa"/>
            <w:shd w:val="clear" w:color="auto" w:fill="FFFF00"/>
          </w:tcPr>
          <w:p w:rsidR="00103DE9" w:rsidRPr="009F7A5C" w:rsidRDefault="00103DE9" w:rsidP="00103DE9">
            <w:pPr>
              <w:spacing w:after="0" w:line="240" w:lineRule="auto"/>
              <w:rPr>
                <w:rFonts w:cs="Arial"/>
                <w:b/>
                <w:sz w:val="18"/>
                <w:szCs w:val="18"/>
              </w:rPr>
            </w:pPr>
            <w:r w:rsidRPr="009F7A5C">
              <w:rPr>
                <w:rFonts w:cs="Arial"/>
                <w:b/>
                <w:sz w:val="18"/>
                <w:szCs w:val="18"/>
              </w:rPr>
              <w:t>Late delivery of key objectives / service due to lack of staff. Moderate error due to ineffective training / implementation of training. Ongoing problems with staffing levels.</w:t>
            </w:r>
          </w:p>
        </w:tc>
        <w:tc>
          <w:tcPr>
            <w:tcW w:w="2693" w:type="dxa"/>
            <w:shd w:val="clear" w:color="auto" w:fill="FF9900"/>
          </w:tcPr>
          <w:p w:rsidR="00103DE9" w:rsidRPr="009F7A5C" w:rsidRDefault="00103DE9" w:rsidP="00103DE9">
            <w:pPr>
              <w:spacing w:after="0" w:line="240" w:lineRule="auto"/>
              <w:rPr>
                <w:rFonts w:cs="Arial"/>
                <w:b/>
                <w:sz w:val="18"/>
                <w:szCs w:val="18"/>
              </w:rPr>
            </w:pPr>
            <w:r w:rsidRPr="009F7A5C">
              <w:rPr>
                <w:rFonts w:cs="Arial"/>
                <w:b/>
                <w:sz w:val="18"/>
                <w:szCs w:val="18"/>
              </w:rPr>
              <w:t>Uncertain delivery ok key objective / service due to lack of staff. Major error due to ineffective training / implementation of training.</w:t>
            </w:r>
          </w:p>
        </w:tc>
        <w:tc>
          <w:tcPr>
            <w:tcW w:w="2694" w:type="dxa"/>
            <w:shd w:val="clear" w:color="auto" w:fill="FF0000"/>
          </w:tcPr>
          <w:p w:rsidR="00103DE9" w:rsidRPr="009F7A5C" w:rsidRDefault="00103DE9" w:rsidP="00103DE9">
            <w:pPr>
              <w:spacing w:after="0" w:line="240" w:lineRule="auto"/>
              <w:rPr>
                <w:rFonts w:cs="Arial"/>
                <w:b/>
                <w:color w:val="FFFFFF"/>
                <w:sz w:val="18"/>
                <w:szCs w:val="18"/>
              </w:rPr>
            </w:pPr>
            <w:r w:rsidRPr="009F7A5C">
              <w:rPr>
                <w:rFonts w:cs="Arial"/>
                <w:b/>
                <w:color w:val="FFFFFF"/>
                <w:sz w:val="18"/>
                <w:szCs w:val="18"/>
              </w:rPr>
              <w:t>Non delivery of key objective / service due to lack of staff. Loss of key staff.</w:t>
            </w:r>
          </w:p>
          <w:p w:rsidR="00103DE9" w:rsidRPr="009F7A5C" w:rsidRDefault="00103DE9" w:rsidP="00103DE9">
            <w:pPr>
              <w:spacing w:after="0" w:line="240" w:lineRule="auto"/>
              <w:rPr>
                <w:rFonts w:cs="Arial"/>
                <w:b/>
                <w:color w:val="FFFFFF"/>
                <w:sz w:val="18"/>
                <w:szCs w:val="18"/>
              </w:rPr>
            </w:pPr>
            <w:r w:rsidRPr="009F7A5C">
              <w:rPr>
                <w:rFonts w:cs="Arial"/>
                <w:b/>
                <w:color w:val="FFFFFF"/>
                <w:sz w:val="18"/>
                <w:szCs w:val="18"/>
              </w:rPr>
              <w:t>Critical error due to ineffective training / implementation of training.</w:t>
            </w:r>
          </w:p>
        </w:tc>
      </w:tr>
      <w:tr w:rsidR="00103DE9" w:rsidRPr="009F7A5C" w:rsidTr="00103DE9">
        <w:trPr>
          <w:trHeight w:val="20"/>
        </w:trPr>
        <w:tc>
          <w:tcPr>
            <w:tcW w:w="2269" w:type="dxa"/>
          </w:tcPr>
          <w:p w:rsidR="00103DE9" w:rsidRPr="009F7A5C" w:rsidRDefault="00103DE9" w:rsidP="00103DE9">
            <w:pPr>
              <w:spacing w:after="0" w:line="240" w:lineRule="auto"/>
              <w:rPr>
                <w:rFonts w:cs="Arial"/>
                <w:b/>
                <w:sz w:val="18"/>
                <w:szCs w:val="18"/>
              </w:rPr>
            </w:pPr>
            <w:r w:rsidRPr="009F7A5C">
              <w:rPr>
                <w:rFonts w:cs="Arial"/>
                <w:b/>
                <w:sz w:val="18"/>
                <w:szCs w:val="18"/>
              </w:rPr>
              <w:t>Financial</w:t>
            </w:r>
          </w:p>
          <w:p w:rsidR="00103DE9" w:rsidRPr="009F7A5C" w:rsidRDefault="00103DE9" w:rsidP="00103DE9">
            <w:pPr>
              <w:spacing w:after="0" w:line="240" w:lineRule="auto"/>
              <w:rPr>
                <w:rFonts w:cs="Arial"/>
                <w:b/>
                <w:sz w:val="18"/>
                <w:szCs w:val="18"/>
              </w:rPr>
            </w:pPr>
            <w:r w:rsidRPr="009F7A5C">
              <w:rPr>
                <w:rFonts w:cs="Arial"/>
                <w:b/>
                <w:sz w:val="18"/>
                <w:szCs w:val="18"/>
              </w:rPr>
              <w:t>(including damage / loss / fraud)</w:t>
            </w:r>
          </w:p>
        </w:tc>
        <w:tc>
          <w:tcPr>
            <w:tcW w:w="2693" w:type="dxa"/>
          </w:tcPr>
          <w:p w:rsidR="00103DE9" w:rsidRPr="009F7A5C" w:rsidRDefault="00103DE9" w:rsidP="00103DE9">
            <w:pPr>
              <w:spacing w:after="0" w:line="240" w:lineRule="auto"/>
              <w:rPr>
                <w:rFonts w:cs="Arial"/>
                <w:b/>
                <w:sz w:val="18"/>
                <w:szCs w:val="18"/>
              </w:rPr>
            </w:pPr>
            <w:r w:rsidRPr="009F7A5C">
              <w:rPr>
                <w:rFonts w:cs="Arial"/>
                <w:b/>
                <w:sz w:val="18"/>
                <w:szCs w:val="18"/>
              </w:rPr>
              <w:t>Negligible organisational / personal financial loss (less than £1K)</w:t>
            </w:r>
          </w:p>
          <w:p w:rsidR="00103DE9" w:rsidRPr="009F7A5C" w:rsidRDefault="00103DE9" w:rsidP="00103DE9">
            <w:pPr>
              <w:spacing w:after="0" w:line="240" w:lineRule="auto"/>
              <w:rPr>
                <w:rFonts w:cs="Arial"/>
                <w:b/>
                <w:sz w:val="18"/>
                <w:szCs w:val="18"/>
              </w:rPr>
            </w:pPr>
            <w:r w:rsidRPr="009F7A5C">
              <w:rPr>
                <w:rFonts w:cs="Arial"/>
                <w:b/>
                <w:sz w:val="18"/>
                <w:szCs w:val="18"/>
              </w:rPr>
              <w:t>(N.B. Adjust for context).</w:t>
            </w:r>
          </w:p>
        </w:tc>
        <w:tc>
          <w:tcPr>
            <w:tcW w:w="2693" w:type="dxa"/>
            <w:shd w:val="clear" w:color="auto" w:fill="00FF00"/>
          </w:tcPr>
          <w:p w:rsidR="00103DE9" w:rsidRPr="00103DE9" w:rsidRDefault="00103DE9" w:rsidP="00103DE9">
            <w:pPr>
              <w:spacing w:after="0" w:line="240" w:lineRule="auto"/>
              <w:rPr>
                <w:rFonts w:cs="Arial"/>
                <w:b/>
                <w:color w:val="000000" w:themeColor="text1"/>
                <w:sz w:val="18"/>
                <w:szCs w:val="18"/>
              </w:rPr>
            </w:pPr>
            <w:r w:rsidRPr="00103DE9">
              <w:rPr>
                <w:rFonts w:cs="Arial"/>
                <w:b/>
                <w:color w:val="000000" w:themeColor="text1"/>
                <w:sz w:val="18"/>
                <w:szCs w:val="18"/>
              </w:rPr>
              <w:t>Minor organisational / personal financial loss (£1K - £10K).</w:t>
            </w:r>
          </w:p>
        </w:tc>
        <w:tc>
          <w:tcPr>
            <w:tcW w:w="2693" w:type="dxa"/>
            <w:shd w:val="clear" w:color="auto" w:fill="FFFF00"/>
          </w:tcPr>
          <w:p w:rsidR="00103DE9" w:rsidRPr="009F7A5C" w:rsidRDefault="00103DE9" w:rsidP="00103DE9">
            <w:pPr>
              <w:spacing w:after="0" w:line="240" w:lineRule="auto"/>
              <w:rPr>
                <w:rFonts w:cs="Arial"/>
                <w:b/>
                <w:sz w:val="18"/>
                <w:szCs w:val="18"/>
              </w:rPr>
            </w:pPr>
            <w:r w:rsidRPr="009F7A5C">
              <w:rPr>
                <w:rFonts w:cs="Arial"/>
                <w:b/>
                <w:sz w:val="18"/>
                <w:szCs w:val="18"/>
              </w:rPr>
              <w:t>Significant organisational / personal financial loss (£10K - £100K).</w:t>
            </w:r>
          </w:p>
        </w:tc>
        <w:tc>
          <w:tcPr>
            <w:tcW w:w="2693" w:type="dxa"/>
            <w:shd w:val="clear" w:color="auto" w:fill="FF9900"/>
          </w:tcPr>
          <w:p w:rsidR="00103DE9" w:rsidRPr="009F7A5C" w:rsidRDefault="00103DE9" w:rsidP="00103DE9">
            <w:pPr>
              <w:spacing w:after="0" w:line="240" w:lineRule="auto"/>
              <w:rPr>
                <w:rFonts w:cs="Arial"/>
                <w:b/>
                <w:sz w:val="18"/>
                <w:szCs w:val="18"/>
              </w:rPr>
            </w:pPr>
            <w:r w:rsidRPr="009F7A5C">
              <w:rPr>
                <w:rFonts w:cs="Arial"/>
                <w:b/>
                <w:sz w:val="18"/>
                <w:szCs w:val="18"/>
              </w:rPr>
              <w:t>Major organisational / personal financial loss (£100K - £1m).</w:t>
            </w:r>
          </w:p>
        </w:tc>
        <w:tc>
          <w:tcPr>
            <w:tcW w:w="2694" w:type="dxa"/>
            <w:shd w:val="clear" w:color="auto" w:fill="FF0000"/>
          </w:tcPr>
          <w:p w:rsidR="00103DE9" w:rsidRPr="009F7A5C" w:rsidRDefault="00103DE9" w:rsidP="00103DE9">
            <w:pPr>
              <w:spacing w:after="0" w:line="240" w:lineRule="auto"/>
              <w:rPr>
                <w:rFonts w:cs="Arial"/>
                <w:b/>
                <w:color w:val="FFFFFF"/>
                <w:sz w:val="18"/>
                <w:szCs w:val="18"/>
              </w:rPr>
            </w:pPr>
            <w:r w:rsidRPr="009F7A5C">
              <w:rPr>
                <w:rFonts w:cs="Arial"/>
                <w:b/>
                <w:color w:val="FFFFFF"/>
                <w:sz w:val="18"/>
                <w:szCs w:val="18"/>
              </w:rPr>
              <w:t>Severe organisational / personal financial loss (greater than £1m).</w:t>
            </w:r>
          </w:p>
        </w:tc>
      </w:tr>
      <w:tr w:rsidR="00103DE9" w:rsidRPr="009F7A5C" w:rsidTr="00103DE9">
        <w:trPr>
          <w:trHeight w:val="20"/>
        </w:trPr>
        <w:tc>
          <w:tcPr>
            <w:tcW w:w="2269" w:type="dxa"/>
          </w:tcPr>
          <w:p w:rsidR="00103DE9" w:rsidRPr="009F7A5C" w:rsidRDefault="00103DE9" w:rsidP="00103DE9">
            <w:pPr>
              <w:spacing w:after="0" w:line="240" w:lineRule="auto"/>
              <w:rPr>
                <w:rFonts w:cs="Arial"/>
                <w:b/>
                <w:sz w:val="18"/>
                <w:szCs w:val="18"/>
              </w:rPr>
            </w:pPr>
            <w:r w:rsidRPr="009F7A5C">
              <w:rPr>
                <w:rFonts w:cs="Arial"/>
                <w:b/>
                <w:sz w:val="18"/>
                <w:szCs w:val="18"/>
              </w:rPr>
              <w:t>Inspection / Audit</w:t>
            </w:r>
          </w:p>
        </w:tc>
        <w:tc>
          <w:tcPr>
            <w:tcW w:w="2693" w:type="dxa"/>
          </w:tcPr>
          <w:p w:rsidR="00103DE9" w:rsidRPr="009F7A5C" w:rsidRDefault="00103DE9" w:rsidP="00103DE9">
            <w:pPr>
              <w:spacing w:after="0" w:line="240" w:lineRule="auto"/>
              <w:rPr>
                <w:rFonts w:cs="Arial"/>
                <w:b/>
                <w:sz w:val="18"/>
                <w:szCs w:val="18"/>
              </w:rPr>
            </w:pPr>
            <w:r w:rsidRPr="009F7A5C">
              <w:rPr>
                <w:rFonts w:cs="Arial"/>
                <w:b/>
                <w:sz w:val="18"/>
                <w:szCs w:val="18"/>
              </w:rPr>
              <w:t>Small number of recommendations which focus on minor quality improvement issues.</w:t>
            </w:r>
          </w:p>
        </w:tc>
        <w:tc>
          <w:tcPr>
            <w:tcW w:w="2693" w:type="dxa"/>
            <w:shd w:val="clear" w:color="auto" w:fill="00FF00"/>
          </w:tcPr>
          <w:p w:rsidR="00103DE9" w:rsidRPr="00103DE9" w:rsidRDefault="00103DE9" w:rsidP="00103DE9">
            <w:pPr>
              <w:spacing w:after="0" w:line="240" w:lineRule="auto"/>
              <w:rPr>
                <w:rFonts w:cs="Arial"/>
                <w:b/>
                <w:color w:val="000000" w:themeColor="text1"/>
                <w:sz w:val="18"/>
                <w:szCs w:val="18"/>
              </w:rPr>
            </w:pPr>
            <w:r w:rsidRPr="00103DE9">
              <w:rPr>
                <w:rFonts w:cs="Arial"/>
                <w:b/>
                <w:color w:val="000000" w:themeColor="text1"/>
                <w:sz w:val="18"/>
                <w:szCs w:val="18"/>
              </w:rPr>
              <w:t>Recommendations made which can be addressed by low level of management action.</w:t>
            </w:r>
          </w:p>
        </w:tc>
        <w:tc>
          <w:tcPr>
            <w:tcW w:w="2693" w:type="dxa"/>
            <w:shd w:val="clear" w:color="auto" w:fill="FFFF00"/>
          </w:tcPr>
          <w:p w:rsidR="00103DE9" w:rsidRPr="009F7A5C" w:rsidRDefault="00103DE9" w:rsidP="00103DE9">
            <w:pPr>
              <w:spacing w:after="0" w:line="240" w:lineRule="auto"/>
              <w:rPr>
                <w:rFonts w:cs="Arial"/>
                <w:b/>
                <w:sz w:val="18"/>
                <w:szCs w:val="18"/>
              </w:rPr>
            </w:pPr>
            <w:r w:rsidRPr="009F7A5C">
              <w:rPr>
                <w:rFonts w:cs="Arial"/>
                <w:b/>
                <w:sz w:val="18"/>
                <w:szCs w:val="18"/>
              </w:rPr>
              <w:t>Challenging recommendation that can be addressed with appropriate action plan.</w:t>
            </w:r>
          </w:p>
        </w:tc>
        <w:tc>
          <w:tcPr>
            <w:tcW w:w="2693" w:type="dxa"/>
            <w:shd w:val="clear" w:color="auto" w:fill="FF9900"/>
          </w:tcPr>
          <w:p w:rsidR="00103DE9" w:rsidRPr="009F7A5C" w:rsidRDefault="00103DE9" w:rsidP="00103DE9">
            <w:pPr>
              <w:spacing w:after="0" w:line="240" w:lineRule="auto"/>
              <w:rPr>
                <w:rFonts w:cs="Arial"/>
                <w:b/>
                <w:sz w:val="18"/>
                <w:szCs w:val="18"/>
              </w:rPr>
            </w:pPr>
            <w:r w:rsidRPr="009F7A5C">
              <w:rPr>
                <w:rFonts w:cs="Arial"/>
                <w:b/>
                <w:sz w:val="18"/>
                <w:szCs w:val="18"/>
              </w:rPr>
              <w:t>Enforcement action. Low rating.</w:t>
            </w:r>
          </w:p>
          <w:p w:rsidR="00103DE9" w:rsidRPr="009F7A5C" w:rsidRDefault="00103DE9" w:rsidP="00103DE9">
            <w:pPr>
              <w:spacing w:after="0" w:line="240" w:lineRule="auto"/>
              <w:rPr>
                <w:rFonts w:cs="Arial"/>
                <w:b/>
                <w:sz w:val="18"/>
                <w:szCs w:val="18"/>
              </w:rPr>
            </w:pPr>
            <w:r w:rsidRPr="009F7A5C">
              <w:rPr>
                <w:rFonts w:cs="Arial"/>
                <w:b/>
                <w:sz w:val="18"/>
                <w:szCs w:val="18"/>
              </w:rPr>
              <w:t>Critical Report.</w:t>
            </w:r>
          </w:p>
        </w:tc>
        <w:tc>
          <w:tcPr>
            <w:tcW w:w="2694" w:type="dxa"/>
            <w:shd w:val="clear" w:color="auto" w:fill="FF0000"/>
          </w:tcPr>
          <w:p w:rsidR="00103DE9" w:rsidRPr="009F7A5C" w:rsidRDefault="00103DE9" w:rsidP="00103DE9">
            <w:pPr>
              <w:spacing w:after="0" w:line="240" w:lineRule="auto"/>
              <w:rPr>
                <w:rFonts w:cs="Arial"/>
                <w:b/>
                <w:color w:val="FFFFFF"/>
                <w:sz w:val="18"/>
                <w:szCs w:val="18"/>
              </w:rPr>
            </w:pPr>
            <w:r w:rsidRPr="009F7A5C">
              <w:rPr>
                <w:rFonts w:cs="Arial"/>
                <w:b/>
                <w:color w:val="FFFFFF"/>
                <w:sz w:val="18"/>
                <w:szCs w:val="18"/>
              </w:rPr>
              <w:t>Prosecution. Zero rating.</w:t>
            </w:r>
          </w:p>
          <w:p w:rsidR="00103DE9" w:rsidRPr="009F7A5C" w:rsidRDefault="00103DE9" w:rsidP="00103DE9">
            <w:pPr>
              <w:spacing w:after="0" w:line="240" w:lineRule="auto"/>
              <w:rPr>
                <w:rFonts w:cs="Arial"/>
                <w:b/>
                <w:color w:val="FFFFFF"/>
                <w:sz w:val="18"/>
                <w:szCs w:val="18"/>
              </w:rPr>
            </w:pPr>
            <w:r w:rsidRPr="009F7A5C">
              <w:rPr>
                <w:rFonts w:cs="Arial"/>
                <w:b/>
                <w:color w:val="FFFFFF"/>
                <w:sz w:val="18"/>
                <w:szCs w:val="18"/>
              </w:rPr>
              <w:t>Severely critical Report.</w:t>
            </w:r>
          </w:p>
        </w:tc>
      </w:tr>
      <w:tr w:rsidR="00103DE9" w:rsidRPr="009F7A5C" w:rsidTr="00103DE9">
        <w:trPr>
          <w:trHeight w:val="20"/>
        </w:trPr>
        <w:tc>
          <w:tcPr>
            <w:tcW w:w="2269" w:type="dxa"/>
          </w:tcPr>
          <w:p w:rsidR="00103DE9" w:rsidRPr="009F7A5C" w:rsidRDefault="00103DE9" w:rsidP="00103DE9">
            <w:pPr>
              <w:spacing w:after="0" w:line="240" w:lineRule="auto"/>
              <w:rPr>
                <w:rFonts w:cs="Arial"/>
                <w:b/>
                <w:sz w:val="18"/>
                <w:szCs w:val="18"/>
              </w:rPr>
            </w:pPr>
            <w:r w:rsidRPr="009F7A5C">
              <w:rPr>
                <w:rFonts w:cs="Arial"/>
                <w:b/>
                <w:sz w:val="18"/>
                <w:szCs w:val="18"/>
              </w:rPr>
              <w:t>Adverse Publicity / Reputation</w:t>
            </w:r>
          </w:p>
        </w:tc>
        <w:tc>
          <w:tcPr>
            <w:tcW w:w="2693" w:type="dxa"/>
          </w:tcPr>
          <w:p w:rsidR="00103DE9" w:rsidRPr="009F7A5C" w:rsidRDefault="00103DE9" w:rsidP="00103DE9">
            <w:pPr>
              <w:spacing w:after="0" w:line="240" w:lineRule="auto"/>
              <w:rPr>
                <w:rFonts w:cs="Arial"/>
                <w:b/>
                <w:sz w:val="18"/>
                <w:szCs w:val="18"/>
              </w:rPr>
            </w:pPr>
            <w:r w:rsidRPr="009F7A5C">
              <w:rPr>
                <w:rFonts w:cs="Arial"/>
                <w:b/>
                <w:sz w:val="18"/>
                <w:szCs w:val="18"/>
              </w:rPr>
              <w:t>Rumours, no media coverage.</w:t>
            </w:r>
          </w:p>
          <w:p w:rsidR="00103DE9" w:rsidRPr="009F7A5C" w:rsidRDefault="00103DE9" w:rsidP="00103DE9">
            <w:pPr>
              <w:spacing w:after="0" w:line="240" w:lineRule="auto"/>
              <w:rPr>
                <w:rFonts w:cs="Arial"/>
                <w:b/>
                <w:sz w:val="18"/>
                <w:szCs w:val="18"/>
              </w:rPr>
            </w:pPr>
            <w:r w:rsidRPr="009F7A5C">
              <w:rPr>
                <w:rFonts w:cs="Arial"/>
                <w:b/>
                <w:sz w:val="18"/>
                <w:szCs w:val="18"/>
              </w:rPr>
              <w:t>Little effect on staff morale.</w:t>
            </w:r>
          </w:p>
        </w:tc>
        <w:tc>
          <w:tcPr>
            <w:tcW w:w="2693" w:type="dxa"/>
            <w:shd w:val="clear" w:color="auto" w:fill="00FF00"/>
          </w:tcPr>
          <w:p w:rsidR="00103DE9" w:rsidRPr="00103DE9" w:rsidRDefault="00103DE9" w:rsidP="00103DE9">
            <w:pPr>
              <w:spacing w:after="0" w:line="240" w:lineRule="auto"/>
              <w:rPr>
                <w:rFonts w:cs="Arial"/>
                <w:b/>
                <w:color w:val="000000" w:themeColor="text1"/>
                <w:sz w:val="18"/>
                <w:szCs w:val="18"/>
              </w:rPr>
            </w:pPr>
            <w:r w:rsidRPr="00103DE9">
              <w:rPr>
                <w:rFonts w:cs="Arial"/>
                <w:b/>
                <w:color w:val="000000" w:themeColor="text1"/>
                <w:sz w:val="18"/>
                <w:szCs w:val="18"/>
              </w:rPr>
              <w:t>Local media coverage – short term.</w:t>
            </w:r>
          </w:p>
          <w:p w:rsidR="00103DE9" w:rsidRPr="00103DE9" w:rsidRDefault="00103DE9" w:rsidP="00103DE9">
            <w:pPr>
              <w:spacing w:after="0" w:line="240" w:lineRule="auto"/>
              <w:rPr>
                <w:rFonts w:cs="Arial"/>
                <w:b/>
                <w:color w:val="000000" w:themeColor="text1"/>
                <w:sz w:val="18"/>
                <w:szCs w:val="18"/>
              </w:rPr>
            </w:pPr>
            <w:r w:rsidRPr="00103DE9">
              <w:rPr>
                <w:rFonts w:cs="Arial"/>
                <w:b/>
                <w:color w:val="000000" w:themeColor="text1"/>
                <w:sz w:val="18"/>
                <w:szCs w:val="18"/>
              </w:rPr>
              <w:t>Some public embarrassment.</w:t>
            </w:r>
          </w:p>
          <w:p w:rsidR="00103DE9" w:rsidRPr="00103DE9" w:rsidRDefault="00103DE9" w:rsidP="00103DE9">
            <w:pPr>
              <w:spacing w:after="0" w:line="240" w:lineRule="auto"/>
              <w:rPr>
                <w:rFonts w:cs="Arial"/>
                <w:b/>
                <w:color w:val="000000" w:themeColor="text1"/>
                <w:sz w:val="18"/>
                <w:szCs w:val="18"/>
              </w:rPr>
            </w:pPr>
            <w:r w:rsidRPr="00103DE9">
              <w:rPr>
                <w:rFonts w:cs="Arial"/>
                <w:b/>
                <w:color w:val="000000" w:themeColor="text1"/>
                <w:sz w:val="18"/>
                <w:szCs w:val="18"/>
              </w:rPr>
              <w:t>Minor effect on staff morale / public attitudes.</w:t>
            </w:r>
          </w:p>
        </w:tc>
        <w:tc>
          <w:tcPr>
            <w:tcW w:w="2693" w:type="dxa"/>
            <w:shd w:val="clear" w:color="auto" w:fill="FFFF00"/>
          </w:tcPr>
          <w:p w:rsidR="00103DE9" w:rsidRPr="009F7A5C" w:rsidRDefault="00103DE9" w:rsidP="00103DE9">
            <w:pPr>
              <w:spacing w:after="0" w:line="240" w:lineRule="auto"/>
              <w:rPr>
                <w:rFonts w:cs="Arial"/>
                <w:b/>
                <w:sz w:val="18"/>
                <w:szCs w:val="18"/>
              </w:rPr>
            </w:pPr>
            <w:r w:rsidRPr="009F7A5C">
              <w:rPr>
                <w:rFonts w:cs="Arial"/>
                <w:b/>
                <w:sz w:val="18"/>
                <w:szCs w:val="18"/>
              </w:rPr>
              <w:t>Local media – long term adverse publicity.</w:t>
            </w:r>
          </w:p>
          <w:p w:rsidR="00103DE9" w:rsidRPr="009F7A5C" w:rsidRDefault="00103DE9" w:rsidP="00103DE9">
            <w:pPr>
              <w:spacing w:after="0" w:line="240" w:lineRule="auto"/>
              <w:rPr>
                <w:rFonts w:cs="Arial"/>
                <w:b/>
                <w:sz w:val="18"/>
                <w:szCs w:val="18"/>
              </w:rPr>
            </w:pPr>
            <w:r w:rsidRPr="009F7A5C">
              <w:rPr>
                <w:rFonts w:cs="Arial"/>
                <w:b/>
                <w:sz w:val="18"/>
                <w:szCs w:val="18"/>
              </w:rPr>
              <w:t>Significant effect on staff morale and public perception of the organisation.</w:t>
            </w:r>
          </w:p>
        </w:tc>
        <w:tc>
          <w:tcPr>
            <w:tcW w:w="2693" w:type="dxa"/>
            <w:shd w:val="clear" w:color="auto" w:fill="FF9900"/>
          </w:tcPr>
          <w:p w:rsidR="00103DE9" w:rsidRPr="009F7A5C" w:rsidRDefault="00103DE9" w:rsidP="00103DE9">
            <w:pPr>
              <w:spacing w:after="0" w:line="240" w:lineRule="auto"/>
              <w:rPr>
                <w:rFonts w:cs="Arial"/>
                <w:b/>
                <w:sz w:val="18"/>
                <w:szCs w:val="18"/>
              </w:rPr>
            </w:pPr>
            <w:r w:rsidRPr="009F7A5C">
              <w:rPr>
                <w:rFonts w:cs="Arial"/>
                <w:b/>
                <w:sz w:val="18"/>
                <w:szCs w:val="18"/>
              </w:rPr>
              <w:t>National media / adverse publicity, less than 3 days.</w:t>
            </w:r>
          </w:p>
          <w:p w:rsidR="00103DE9" w:rsidRPr="009F7A5C" w:rsidRDefault="00103DE9" w:rsidP="00103DE9">
            <w:pPr>
              <w:spacing w:after="0" w:line="240" w:lineRule="auto"/>
              <w:rPr>
                <w:rFonts w:cs="Arial"/>
                <w:b/>
                <w:sz w:val="18"/>
                <w:szCs w:val="18"/>
              </w:rPr>
            </w:pPr>
            <w:r w:rsidRPr="009F7A5C">
              <w:rPr>
                <w:rFonts w:cs="Arial"/>
                <w:b/>
                <w:sz w:val="18"/>
                <w:szCs w:val="18"/>
              </w:rPr>
              <w:t>Public confidence in the organisation undermined.</w:t>
            </w:r>
          </w:p>
          <w:p w:rsidR="00103DE9" w:rsidRPr="009F7A5C" w:rsidRDefault="00103DE9" w:rsidP="00103DE9">
            <w:pPr>
              <w:spacing w:after="0" w:line="240" w:lineRule="auto"/>
              <w:rPr>
                <w:rFonts w:cs="Arial"/>
                <w:b/>
                <w:sz w:val="18"/>
                <w:szCs w:val="18"/>
              </w:rPr>
            </w:pPr>
            <w:r w:rsidRPr="009F7A5C">
              <w:rPr>
                <w:rFonts w:cs="Arial"/>
                <w:b/>
                <w:sz w:val="18"/>
                <w:szCs w:val="18"/>
              </w:rPr>
              <w:t>Use of service affected.</w:t>
            </w:r>
          </w:p>
        </w:tc>
        <w:tc>
          <w:tcPr>
            <w:tcW w:w="2694" w:type="dxa"/>
            <w:shd w:val="clear" w:color="auto" w:fill="FF0000"/>
          </w:tcPr>
          <w:p w:rsidR="00103DE9" w:rsidRPr="009F7A5C" w:rsidRDefault="00103DE9" w:rsidP="00103DE9">
            <w:pPr>
              <w:spacing w:after="0" w:line="240" w:lineRule="auto"/>
              <w:rPr>
                <w:rFonts w:cs="Arial"/>
                <w:b/>
                <w:color w:val="FFFFFF"/>
                <w:sz w:val="18"/>
                <w:szCs w:val="18"/>
              </w:rPr>
            </w:pPr>
            <w:r w:rsidRPr="009F7A5C">
              <w:rPr>
                <w:rFonts w:cs="Arial"/>
                <w:b/>
                <w:color w:val="FFFFFF"/>
                <w:sz w:val="18"/>
                <w:szCs w:val="18"/>
              </w:rPr>
              <w:t>National / international media / adverse publicity, more than 3 days.</w:t>
            </w:r>
          </w:p>
          <w:p w:rsidR="00103DE9" w:rsidRPr="009F7A5C" w:rsidRDefault="00103DE9" w:rsidP="00103DE9">
            <w:pPr>
              <w:spacing w:after="0" w:line="240" w:lineRule="auto"/>
              <w:rPr>
                <w:rFonts w:cs="Arial"/>
                <w:b/>
                <w:color w:val="FFFFFF"/>
                <w:sz w:val="18"/>
                <w:szCs w:val="18"/>
              </w:rPr>
            </w:pPr>
            <w:r w:rsidRPr="009F7A5C">
              <w:rPr>
                <w:rFonts w:cs="Arial"/>
                <w:b/>
                <w:color w:val="FFFFFF"/>
                <w:sz w:val="18"/>
                <w:szCs w:val="18"/>
              </w:rPr>
              <w:t>MSP/MP concerns (Questions in Parliament). Court enforcement. Public Inquiry / FAI.</w:t>
            </w:r>
          </w:p>
        </w:tc>
      </w:tr>
    </w:tbl>
    <w:p w:rsidR="00D4760D" w:rsidRDefault="00D4760D">
      <w:pPr>
        <w:rPr>
          <w:rFonts w:ascii="Arial" w:hAnsi="Arial" w:cs="Arial"/>
          <w:b/>
          <w:sz w:val="24"/>
          <w:szCs w:val="24"/>
        </w:rPr>
      </w:pPr>
    </w:p>
    <w:p w:rsidR="00250A73" w:rsidRDefault="00250A73" w:rsidP="009A7A87">
      <w:pPr>
        <w:pStyle w:val="StandardAppendixHeading"/>
        <w:sectPr w:rsidR="00250A73" w:rsidSect="00250A73">
          <w:headerReference w:type="default" r:id="rId21"/>
          <w:footerReference w:type="default" r:id="rId22"/>
          <w:pgSz w:w="16838" w:h="11906" w:orient="landscape"/>
          <w:pgMar w:top="851" w:right="1440" w:bottom="851" w:left="1361" w:header="567" w:footer="567" w:gutter="0"/>
          <w:cols w:space="708"/>
          <w:docGrid w:linePitch="360"/>
        </w:sectPr>
      </w:pPr>
      <w:bookmarkStart w:id="27" w:name="_Toc408559421"/>
    </w:p>
    <w:p w:rsidR="002E4908" w:rsidRDefault="0035597C" w:rsidP="009A7A87">
      <w:pPr>
        <w:pStyle w:val="StandardAppendixHeading"/>
      </w:pPr>
      <w:bookmarkStart w:id="28" w:name="_Toc415492017"/>
      <w:r>
        <w:lastRenderedPageBreak/>
        <w:t>Appendix</w:t>
      </w:r>
      <w:r w:rsidR="00892833">
        <w:t xml:space="preserve"> B – Risk Mitigation</w:t>
      </w:r>
      <w:bookmarkEnd w:id="27"/>
      <w:bookmarkEnd w:id="28"/>
    </w:p>
    <w:p w:rsidR="00892833" w:rsidRPr="00295A49" w:rsidRDefault="00892833" w:rsidP="00295A49">
      <w:pPr>
        <w:pStyle w:val="Standardparagraph"/>
        <w:rPr>
          <w:lang w:eastAsia="en-GB"/>
        </w:rPr>
      </w:pPr>
      <w:r w:rsidRPr="00295A49">
        <w:rPr>
          <w:lang w:eastAsia="en-GB"/>
        </w:rPr>
        <w:t xml:space="preserve">There are a number of approaches </w:t>
      </w:r>
      <w:r w:rsidR="009A7A87" w:rsidRPr="00295A49">
        <w:rPr>
          <w:lang w:eastAsia="en-GB"/>
        </w:rPr>
        <w:t xml:space="preserve">that can be taken to </w:t>
      </w:r>
      <w:proofErr w:type="gramStart"/>
      <w:r w:rsidRPr="00295A49">
        <w:rPr>
          <w:lang w:eastAsia="en-GB"/>
        </w:rPr>
        <w:t>mitigate</w:t>
      </w:r>
      <w:proofErr w:type="gramEnd"/>
      <w:r w:rsidRPr="00295A49">
        <w:rPr>
          <w:lang w:eastAsia="en-GB"/>
        </w:rPr>
        <w:t xml:space="preserve"> </w:t>
      </w:r>
      <w:r w:rsidR="009A7A87" w:rsidRPr="00295A49">
        <w:rPr>
          <w:lang w:eastAsia="en-GB"/>
        </w:rPr>
        <w:t xml:space="preserve">against </w:t>
      </w:r>
      <w:r w:rsidRPr="00295A49">
        <w:rPr>
          <w:lang w:eastAsia="en-GB"/>
        </w:rPr>
        <w:t>the impact of the identified risks</w:t>
      </w:r>
      <w:r w:rsidR="009A7A87" w:rsidRPr="00295A49">
        <w:rPr>
          <w:lang w:eastAsia="en-GB"/>
        </w:rPr>
        <w:t>, such as</w:t>
      </w:r>
      <w:r w:rsidRPr="00295A49">
        <w:rPr>
          <w:lang w:eastAsia="en-GB"/>
        </w:rPr>
        <w:t>:</w:t>
      </w:r>
    </w:p>
    <w:p w:rsidR="00892833" w:rsidRDefault="00892833" w:rsidP="00892833">
      <w:pPr>
        <w:pStyle w:val="Standardbullet"/>
      </w:pPr>
      <w:r w:rsidRPr="004849D8">
        <w:rPr>
          <w:rFonts w:cs="GillSans-Bold"/>
          <w:b/>
          <w:bCs/>
        </w:rPr>
        <w:t xml:space="preserve">Active risk management </w:t>
      </w:r>
      <w:r w:rsidRPr="004849D8">
        <w:t>– Effective management of risks involves:</w:t>
      </w:r>
    </w:p>
    <w:p w:rsidR="00892833" w:rsidRDefault="00892833" w:rsidP="00892833">
      <w:pPr>
        <w:pStyle w:val="Standardbullet"/>
        <w:numPr>
          <w:ilvl w:val="1"/>
          <w:numId w:val="1"/>
        </w:numPr>
      </w:pPr>
      <w:r w:rsidRPr="004849D8">
        <w:t>identifying possible risks in advance and putting mechanisms in place to minimise the likelihood of their materialising with adverse effects;</w:t>
      </w:r>
    </w:p>
    <w:p w:rsidR="00892833" w:rsidRDefault="00892833" w:rsidP="00892833">
      <w:pPr>
        <w:pStyle w:val="Standardbullet"/>
        <w:numPr>
          <w:ilvl w:val="1"/>
          <w:numId w:val="1"/>
        </w:numPr>
      </w:pPr>
      <w:r w:rsidRPr="004849D8">
        <w:t>having processes in place to monitor risks, and access to reliable, up-to-date</w:t>
      </w:r>
      <w:r>
        <w:t xml:space="preserve"> </w:t>
      </w:r>
      <w:r w:rsidRPr="004849D8">
        <w:t>information about risks;</w:t>
      </w:r>
    </w:p>
    <w:p w:rsidR="00892833" w:rsidRDefault="00892833" w:rsidP="00892833">
      <w:pPr>
        <w:pStyle w:val="Standardbullet"/>
        <w:numPr>
          <w:ilvl w:val="1"/>
          <w:numId w:val="1"/>
        </w:numPr>
      </w:pPr>
      <w:r w:rsidRPr="004849D8">
        <w:t>the right balance of control in place to mitigate the adverse consequences of the risks, if they should materialise; and,</w:t>
      </w:r>
    </w:p>
    <w:p w:rsidR="00892833" w:rsidRDefault="00892833" w:rsidP="00892833">
      <w:pPr>
        <w:pStyle w:val="Standardbullet"/>
        <w:numPr>
          <w:ilvl w:val="1"/>
          <w:numId w:val="1"/>
        </w:numPr>
      </w:pPr>
      <w:proofErr w:type="gramStart"/>
      <w:r w:rsidRPr="004849D8">
        <w:t>decision-making</w:t>
      </w:r>
      <w:proofErr w:type="gramEnd"/>
      <w:r w:rsidRPr="004849D8">
        <w:t xml:space="preserve"> processes supported by a framework of risk analysis and evaluation.</w:t>
      </w:r>
    </w:p>
    <w:p w:rsidR="00892833" w:rsidRDefault="00892833" w:rsidP="00892833">
      <w:pPr>
        <w:pStyle w:val="Standardbullet"/>
      </w:pPr>
      <w:r w:rsidRPr="008473F8">
        <w:rPr>
          <w:rFonts w:cs="GillSans-Bold"/>
          <w:b/>
          <w:bCs/>
        </w:rPr>
        <w:t xml:space="preserve">Early consultation </w:t>
      </w:r>
      <w:r w:rsidRPr="008473F8">
        <w:t xml:space="preserve">– Experience suggests that costs tend to increase as more requirements are </w:t>
      </w:r>
      <w:proofErr w:type="gramStart"/>
      <w:r w:rsidRPr="008473F8">
        <w:t>identified</w:t>
      </w:r>
      <w:r w:rsidR="004071B4">
        <w:t>,</w:t>
      </w:r>
      <w:proofErr w:type="gramEnd"/>
      <w:r w:rsidR="004071B4">
        <w:t xml:space="preserve"> or the later that these requirements are identified</w:t>
      </w:r>
      <w:r w:rsidRPr="008473F8">
        <w:t>. Early consultation will help to identify what those needs are and how they may be addressed.</w:t>
      </w:r>
    </w:p>
    <w:p w:rsidR="00892833" w:rsidRDefault="00892833" w:rsidP="00892833">
      <w:pPr>
        <w:pStyle w:val="Standardbullet"/>
      </w:pPr>
      <w:r w:rsidRPr="008473F8">
        <w:rPr>
          <w:rFonts w:cs="GillSans-Bold"/>
          <w:b/>
          <w:bCs/>
        </w:rPr>
        <w:t xml:space="preserve">Avoidance of irreversible decisions </w:t>
      </w:r>
      <w:r w:rsidRPr="008473F8">
        <w:t>– Where lead options involve irreversibility, a full assessment of costs should include the possibility of delay, allowing more time for investigation of alternative ways to achieve the objectives.</w:t>
      </w:r>
    </w:p>
    <w:p w:rsidR="00892833" w:rsidRDefault="00892833" w:rsidP="00892833">
      <w:pPr>
        <w:pStyle w:val="Standardbullet"/>
      </w:pPr>
      <w:r w:rsidRPr="008473F8">
        <w:rPr>
          <w:rFonts w:cs="GillSans-Bold"/>
          <w:b/>
          <w:bCs/>
        </w:rPr>
        <w:t xml:space="preserve">Pilot Studies </w:t>
      </w:r>
      <w:r w:rsidRPr="008473F8">
        <w:t>– Acquiring more information about risks affecting a project through</w:t>
      </w:r>
      <w:r>
        <w:t xml:space="preserve"> </w:t>
      </w:r>
      <w:r w:rsidRPr="008473F8">
        <w:t>pilots allows steps to be taken to mitigate either the adverse consequences of bad</w:t>
      </w:r>
      <w:r>
        <w:t xml:space="preserve"> </w:t>
      </w:r>
      <w:r w:rsidRPr="008473F8">
        <w:t>outcomes, or increase the benefits of good outcomes.</w:t>
      </w:r>
    </w:p>
    <w:p w:rsidR="00892833" w:rsidRDefault="00892833" w:rsidP="00892833">
      <w:pPr>
        <w:pStyle w:val="Standardbullet"/>
      </w:pPr>
      <w:r w:rsidRPr="008473F8">
        <w:rPr>
          <w:rFonts w:cs="GillSans-Bold"/>
          <w:b/>
          <w:bCs/>
        </w:rPr>
        <w:t xml:space="preserve">Design Flexibility </w:t>
      </w:r>
      <w:r w:rsidRPr="008473F8">
        <w:t>– Where future demand and relative prices are uncertain, it may</w:t>
      </w:r>
      <w:r>
        <w:t xml:space="preserve"> </w:t>
      </w:r>
      <w:r w:rsidRPr="008473F8">
        <w:t>be worth choosing a flexible design adaptable to future changes, rather than a design</w:t>
      </w:r>
      <w:r>
        <w:t xml:space="preserve"> </w:t>
      </w:r>
      <w:r w:rsidRPr="008473F8">
        <w:t>suited to only one particular outcome. For example, different types of fuel can be used</w:t>
      </w:r>
      <w:r>
        <w:t xml:space="preserve"> </w:t>
      </w:r>
      <w:r w:rsidRPr="008473F8">
        <w:t>to fire a dual fired boiler, depending on future relative prices of alternative fuels. Breaking</w:t>
      </w:r>
      <w:r>
        <w:t xml:space="preserve"> </w:t>
      </w:r>
      <w:r w:rsidRPr="008473F8">
        <w:t>a project into stages, with successive review points at which the project could be</w:t>
      </w:r>
      <w:r>
        <w:t xml:space="preserve"> </w:t>
      </w:r>
      <w:r w:rsidRPr="008473F8">
        <w:t>stopped or changed, can also increase flexibility.</w:t>
      </w:r>
    </w:p>
    <w:p w:rsidR="00892833" w:rsidRDefault="00892833" w:rsidP="00892833">
      <w:pPr>
        <w:pStyle w:val="Standardbullet"/>
      </w:pPr>
      <w:r w:rsidRPr="008473F8">
        <w:rPr>
          <w:rFonts w:cs="GillSans-Bold"/>
          <w:b/>
          <w:bCs/>
        </w:rPr>
        <w:t xml:space="preserve">Precautionary Principle </w:t>
      </w:r>
      <w:r w:rsidRPr="008473F8">
        <w:t>– Precautionary action can be taken to mitigate a</w:t>
      </w:r>
      <w:r>
        <w:t xml:space="preserve"> </w:t>
      </w:r>
      <w:r w:rsidRPr="008473F8">
        <w:t>perceived risk.</w:t>
      </w:r>
      <w:r w:rsidR="00D84831">
        <w:t xml:space="preserve"> </w:t>
      </w:r>
      <w:r w:rsidRPr="008473F8">
        <w:t>The precautionary principle states that because some outcomes are so</w:t>
      </w:r>
      <w:r>
        <w:t xml:space="preserve"> </w:t>
      </w:r>
      <w:r w:rsidRPr="008473F8">
        <w:t>bad, even though they may be very unlikely, precautionary action is justified. In cases</w:t>
      </w:r>
      <w:r>
        <w:t xml:space="preserve"> </w:t>
      </w:r>
      <w:r w:rsidRPr="008473F8">
        <w:t xml:space="preserve">where such </w:t>
      </w:r>
      <w:r w:rsidRPr="008473F8">
        <w:lastRenderedPageBreak/>
        <w:t>risks have been identified, they should be drawn to the attention of senior</w:t>
      </w:r>
      <w:r>
        <w:t xml:space="preserve"> </w:t>
      </w:r>
      <w:r w:rsidRPr="008473F8">
        <w:t>management and expert advice sought.</w:t>
      </w:r>
    </w:p>
    <w:p w:rsidR="00892833" w:rsidRDefault="00892833" w:rsidP="00892833">
      <w:pPr>
        <w:pStyle w:val="Standardbullet"/>
      </w:pPr>
      <w:r w:rsidRPr="008473F8">
        <w:rPr>
          <w:rFonts w:cs="GillSans-Bold"/>
          <w:b/>
          <w:bCs/>
        </w:rPr>
        <w:t xml:space="preserve">Procurement / contractual </w:t>
      </w:r>
      <w:r w:rsidRPr="008473F8">
        <w:t>– risk can be contractually transferred to other parties</w:t>
      </w:r>
      <w:r>
        <w:t xml:space="preserve"> </w:t>
      </w:r>
      <w:r w:rsidRPr="008473F8">
        <w:t>and maintained through good contractual relationships, both formal and informal.</w:t>
      </w:r>
      <w:r>
        <w:t xml:space="preserve"> </w:t>
      </w:r>
      <w:r w:rsidRPr="008473F8">
        <w:t xml:space="preserve">Insurance is the most obvious example of risk transfer. The main text of this </w:t>
      </w:r>
      <w:r w:rsidR="0035597C">
        <w:t>Appendix</w:t>
      </w:r>
      <w:r>
        <w:t xml:space="preserve"> </w:t>
      </w:r>
      <w:r w:rsidRPr="008473F8">
        <w:t>provides further information about the types of risk that can, and often are, transferred.</w:t>
      </w:r>
    </w:p>
    <w:p w:rsidR="00892833" w:rsidRDefault="00892833" w:rsidP="00892833">
      <w:pPr>
        <w:pStyle w:val="Standardbullet"/>
      </w:pPr>
      <w:r w:rsidRPr="008473F8">
        <w:rPr>
          <w:rFonts w:cs="GillSans-Bold"/>
          <w:b/>
          <w:bCs/>
        </w:rPr>
        <w:t xml:space="preserve">Reinstate, or develop different options </w:t>
      </w:r>
      <w:r w:rsidRPr="008473F8">
        <w:t>– Following the risk analysis, the appraiser</w:t>
      </w:r>
      <w:r>
        <w:t xml:space="preserve"> </w:t>
      </w:r>
      <w:r w:rsidRPr="008473F8">
        <w:t>may want to reinstate or options, or develop alternative ones that are either less</w:t>
      </w:r>
      <w:r>
        <w:t xml:space="preserve"> </w:t>
      </w:r>
      <w:r w:rsidRPr="008473F8">
        <w:t>inherently risky or deal with the risks more efficiently.</w:t>
      </w:r>
    </w:p>
    <w:p w:rsidR="00892833" w:rsidRDefault="00892833" w:rsidP="00892833">
      <w:pPr>
        <w:pStyle w:val="Standardbullet"/>
      </w:pPr>
      <w:r w:rsidRPr="008473F8">
        <w:rPr>
          <w:rFonts w:cs="GillSans-Bold"/>
          <w:b/>
          <w:bCs/>
        </w:rPr>
        <w:t xml:space="preserve">Abandon proposal </w:t>
      </w:r>
      <w:r w:rsidRPr="008473F8">
        <w:t>– Finally, the proposal may be so risky that, whatever option is</w:t>
      </w:r>
      <w:r>
        <w:t xml:space="preserve"> </w:t>
      </w:r>
      <w:r w:rsidRPr="008473F8">
        <w:t>considered, it has to be abandoned.</w:t>
      </w:r>
    </w:p>
    <w:p w:rsidR="00892833" w:rsidRDefault="00892833" w:rsidP="0038452F">
      <w:pPr>
        <w:rPr>
          <w:rFonts w:ascii="Arial" w:hAnsi="Arial" w:cs="Arial"/>
          <w:b/>
          <w:sz w:val="24"/>
          <w:szCs w:val="24"/>
        </w:rPr>
      </w:pPr>
    </w:p>
    <w:p w:rsidR="00CC204A" w:rsidRDefault="00CC204A" w:rsidP="0038452F">
      <w:pPr>
        <w:rPr>
          <w:rFonts w:ascii="Arial" w:hAnsi="Arial" w:cs="Arial"/>
          <w:b/>
          <w:sz w:val="24"/>
          <w:szCs w:val="24"/>
        </w:rPr>
        <w:sectPr w:rsidR="00CC204A" w:rsidSect="00B70B7C">
          <w:footerReference w:type="default" r:id="rId23"/>
          <w:pgSz w:w="11906" w:h="16838"/>
          <w:pgMar w:top="1440" w:right="851" w:bottom="1361" w:left="851" w:header="567" w:footer="567" w:gutter="0"/>
          <w:cols w:space="708"/>
          <w:docGrid w:linePitch="360"/>
        </w:sectPr>
      </w:pPr>
    </w:p>
    <w:p w:rsidR="00CC204A" w:rsidRDefault="00CC204A" w:rsidP="00CC204A">
      <w:pPr>
        <w:pStyle w:val="StandardAppendixHeading"/>
      </w:pPr>
      <w:bookmarkStart w:id="29" w:name="_Toc415492018"/>
      <w:r>
        <w:lastRenderedPageBreak/>
        <w:t xml:space="preserve">Appendix C: </w:t>
      </w:r>
      <w:r w:rsidR="0035597C">
        <w:t>Strategic Risks at Initial Agreement stage</w:t>
      </w:r>
      <w:bookmarkEnd w:id="29"/>
    </w:p>
    <w:tbl>
      <w:tblPr>
        <w:tblW w:w="14712" w:type="dxa"/>
        <w:tblInd w:w="-34" w:type="dxa"/>
        <w:tblLayout w:type="fixed"/>
        <w:tblLook w:val="04A0"/>
      </w:tblPr>
      <w:tblGrid>
        <w:gridCol w:w="838"/>
        <w:gridCol w:w="2565"/>
        <w:gridCol w:w="1559"/>
        <w:gridCol w:w="1417"/>
        <w:gridCol w:w="1276"/>
        <w:gridCol w:w="851"/>
        <w:gridCol w:w="2693"/>
        <w:gridCol w:w="1559"/>
        <w:gridCol w:w="914"/>
        <w:gridCol w:w="1040"/>
      </w:tblGrid>
      <w:tr w:rsidR="00CE7005" w:rsidRPr="00CE7005" w:rsidTr="00CE7005">
        <w:trPr>
          <w:trHeight w:val="600"/>
          <w:tblHeader/>
        </w:trPr>
        <w:tc>
          <w:tcPr>
            <w:tcW w:w="4962" w:type="dxa"/>
            <w:gridSpan w:val="3"/>
            <w:tcBorders>
              <w:top w:val="single" w:sz="8" w:space="0" w:color="auto"/>
              <w:left w:val="single" w:sz="8" w:space="0" w:color="auto"/>
              <w:bottom w:val="single" w:sz="4" w:space="0" w:color="auto"/>
              <w:right w:val="single" w:sz="4" w:space="0" w:color="auto"/>
            </w:tcBorders>
            <w:shd w:val="clear" w:color="000000" w:fill="31849B"/>
            <w:noWrap/>
            <w:vAlign w:val="center"/>
            <w:hideMark/>
          </w:tcPr>
          <w:p w:rsidR="00CE7005" w:rsidRPr="00CE7005" w:rsidRDefault="00CE7005" w:rsidP="00CE7005">
            <w:pPr>
              <w:spacing w:after="0" w:line="240" w:lineRule="auto"/>
              <w:jc w:val="center"/>
              <w:rPr>
                <w:rFonts w:ascii="Calibri" w:eastAsia="Times New Roman" w:hAnsi="Calibri" w:cs="Times New Roman"/>
                <w:b/>
                <w:bCs/>
                <w:color w:val="FFFFFF"/>
                <w:sz w:val="24"/>
                <w:szCs w:val="24"/>
                <w:lang w:eastAsia="en-GB"/>
              </w:rPr>
            </w:pPr>
            <w:r w:rsidRPr="00CE7005">
              <w:rPr>
                <w:rFonts w:ascii="Calibri" w:eastAsia="Times New Roman" w:hAnsi="Calibri" w:cs="Times New Roman"/>
                <w:b/>
                <w:bCs/>
                <w:color w:val="FFFFFF"/>
                <w:sz w:val="24"/>
                <w:szCs w:val="24"/>
                <w:lang w:eastAsia="en-GB"/>
              </w:rPr>
              <w:t>1.  Identification</w:t>
            </w:r>
          </w:p>
        </w:tc>
        <w:tc>
          <w:tcPr>
            <w:tcW w:w="3544" w:type="dxa"/>
            <w:gridSpan w:val="3"/>
            <w:tcBorders>
              <w:top w:val="single" w:sz="8" w:space="0" w:color="auto"/>
              <w:left w:val="nil"/>
              <w:bottom w:val="single" w:sz="4" w:space="0" w:color="auto"/>
              <w:right w:val="nil"/>
            </w:tcBorders>
            <w:shd w:val="clear" w:color="000000" w:fill="31849B"/>
            <w:noWrap/>
            <w:vAlign w:val="center"/>
            <w:hideMark/>
          </w:tcPr>
          <w:p w:rsidR="00CE7005" w:rsidRPr="00CE7005" w:rsidRDefault="00CE7005" w:rsidP="00CE7005">
            <w:pPr>
              <w:spacing w:after="0" w:line="240" w:lineRule="auto"/>
              <w:jc w:val="center"/>
              <w:rPr>
                <w:rFonts w:ascii="Calibri" w:eastAsia="Times New Roman" w:hAnsi="Calibri" w:cs="Times New Roman"/>
                <w:b/>
                <w:bCs/>
                <w:color w:val="FFFFFF"/>
                <w:sz w:val="24"/>
                <w:szCs w:val="24"/>
                <w:lang w:eastAsia="en-GB"/>
              </w:rPr>
            </w:pPr>
            <w:r w:rsidRPr="00CE7005">
              <w:rPr>
                <w:rFonts w:ascii="Calibri" w:eastAsia="Times New Roman" w:hAnsi="Calibri" w:cs="Times New Roman"/>
                <w:b/>
                <w:bCs/>
                <w:color w:val="FFFFFF"/>
                <w:sz w:val="24"/>
                <w:szCs w:val="24"/>
                <w:lang w:eastAsia="en-GB"/>
              </w:rPr>
              <w:t>2.  Assessment</w:t>
            </w:r>
          </w:p>
        </w:tc>
        <w:tc>
          <w:tcPr>
            <w:tcW w:w="4252" w:type="dxa"/>
            <w:gridSpan w:val="2"/>
            <w:tcBorders>
              <w:top w:val="single" w:sz="8" w:space="0" w:color="auto"/>
              <w:left w:val="nil"/>
              <w:bottom w:val="single" w:sz="4" w:space="0" w:color="auto"/>
              <w:right w:val="single" w:sz="4" w:space="0" w:color="auto"/>
            </w:tcBorders>
            <w:shd w:val="clear" w:color="000000" w:fill="31849B"/>
            <w:noWrap/>
            <w:vAlign w:val="center"/>
            <w:hideMark/>
          </w:tcPr>
          <w:p w:rsidR="00CE7005" w:rsidRPr="00CE7005" w:rsidRDefault="00CE7005" w:rsidP="00CE7005">
            <w:pPr>
              <w:spacing w:after="0" w:line="240" w:lineRule="auto"/>
              <w:jc w:val="center"/>
              <w:rPr>
                <w:rFonts w:ascii="Calibri" w:eastAsia="Times New Roman" w:hAnsi="Calibri" w:cs="Times New Roman"/>
                <w:b/>
                <w:bCs/>
                <w:color w:val="FFFFFF"/>
                <w:sz w:val="24"/>
                <w:szCs w:val="24"/>
                <w:lang w:eastAsia="en-GB"/>
              </w:rPr>
            </w:pPr>
            <w:r w:rsidRPr="00CE7005">
              <w:rPr>
                <w:rFonts w:ascii="Calibri" w:eastAsia="Times New Roman" w:hAnsi="Calibri" w:cs="Times New Roman"/>
                <w:b/>
                <w:bCs/>
                <w:color w:val="FFFFFF"/>
                <w:sz w:val="24"/>
                <w:szCs w:val="24"/>
                <w:lang w:eastAsia="en-GB"/>
              </w:rPr>
              <w:t>3.  Control</w:t>
            </w:r>
          </w:p>
        </w:tc>
        <w:tc>
          <w:tcPr>
            <w:tcW w:w="1954" w:type="dxa"/>
            <w:gridSpan w:val="2"/>
            <w:tcBorders>
              <w:top w:val="single" w:sz="8" w:space="0" w:color="auto"/>
              <w:left w:val="nil"/>
              <w:bottom w:val="single" w:sz="4" w:space="0" w:color="auto"/>
              <w:right w:val="single" w:sz="8" w:space="0" w:color="000000"/>
            </w:tcBorders>
            <w:shd w:val="clear" w:color="000000" w:fill="31849B"/>
            <w:noWrap/>
            <w:vAlign w:val="center"/>
            <w:hideMark/>
          </w:tcPr>
          <w:p w:rsidR="00CE7005" w:rsidRPr="00CE7005" w:rsidRDefault="00CE7005" w:rsidP="00CE7005">
            <w:pPr>
              <w:spacing w:after="0" w:line="240" w:lineRule="auto"/>
              <w:jc w:val="center"/>
              <w:rPr>
                <w:rFonts w:ascii="Calibri" w:eastAsia="Times New Roman" w:hAnsi="Calibri" w:cs="Times New Roman"/>
                <w:b/>
                <w:bCs/>
                <w:color w:val="FFFFFF"/>
                <w:sz w:val="24"/>
                <w:szCs w:val="24"/>
                <w:lang w:eastAsia="en-GB"/>
              </w:rPr>
            </w:pPr>
            <w:r w:rsidRPr="00CE7005">
              <w:rPr>
                <w:rFonts w:ascii="Calibri" w:eastAsia="Times New Roman" w:hAnsi="Calibri" w:cs="Times New Roman"/>
                <w:b/>
                <w:bCs/>
                <w:color w:val="FFFFFF"/>
                <w:sz w:val="24"/>
                <w:szCs w:val="24"/>
                <w:lang w:eastAsia="en-GB"/>
              </w:rPr>
              <w:t>4. Monitoring</w:t>
            </w:r>
          </w:p>
        </w:tc>
      </w:tr>
      <w:tr w:rsidR="00CE7005" w:rsidRPr="00CE7005" w:rsidTr="00CE7005">
        <w:trPr>
          <w:trHeight w:val="525"/>
          <w:tblHeader/>
        </w:trPr>
        <w:tc>
          <w:tcPr>
            <w:tcW w:w="838" w:type="dxa"/>
            <w:vMerge w:val="restart"/>
            <w:tcBorders>
              <w:top w:val="nil"/>
              <w:left w:val="single" w:sz="8" w:space="0" w:color="auto"/>
              <w:bottom w:val="single" w:sz="4" w:space="0" w:color="auto"/>
              <w:right w:val="single" w:sz="4" w:space="0" w:color="auto"/>
            </w:tcBorders>
            <w:shd w:val="clear" w:color="000000" w:fill="93CDDD"/>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Risk No</w:t>
            </w:r>
          </w:p>
        </w:tc>
        <w:tc>
          <w:tcPr>
            <w:tcW w:w="2565" w:type="dxa"/>
            <w:vMerge w:val="restart"/>
            <w:tcBorders>
              <w:top w:val="nil"/>
              <w:left w:val="single" w:sz="4" w:space="0" w:color="auto"/>
              <w:bottom w:val="single" w:sz="4" w:space="0" w:color="auto"/>
              <w:right w:val="single" w:sz="4" w:space="0" w:color="auto"/>
            </w:tcBorders>
            <w:shd w:val="clear" w:color="000000" w:fill="93CDDD"/>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Risk Description</w:t>
            </w:r>
          </w:p>
        </w:tc>
        <w:tc>
          <w:tcPr>
            <w:tcW w:w="1559" w:type="dxa"/>
            <w:vMerge w:val="restart"/>
            <w:tcBorders>
              <w:top w:val="nil"/>
              <w:left w:val="single" w:sz="4" w:space="0" w:color="auto"/>
              <w:bottom w:val="single" w:sz="4" w:space="0" w:color="auto"/>
              <w:right w:val="single" w:sz="4" w:space="0" w:color="auto"/>
            </w:tcBorders>
            <w:shd w:val="clear" w:color="000000" w:fill="93CDDD"/>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Financial / Non-Financial / Unquantifiable</w:t>
            </w:r>
          </w:p>
        </w:tc>
        <w:tc>
          <w:tcPr>
            <w:tcW w:w="1417" w:type="dxa"/>
            <w:tcBorders>
              <w:top w:val="nil"/>
              <w:left w:val="nil"/>
              <w:bottom w:val="single" w:sz="4" w:space="0" w:color="auto"/>
              <w:right w:val="single" w:sz="4" w:space="0" w:color="auto"/>
            </w:tcBorders>
            <w:shd w:val="clear" w:color="000000" w:fill="93CDDD"/>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Consequence</w:t>
            </w:r>
          </w:p>
        </w:tc>
        <w:tc>
          <w:tcPr>
            <w:tcW w:w="1276" w:type="dxa"/>
            <w:tcBorders>
              <w:top w:val="nil"/>
              <w:left w:val="nil"/>
              <w:bottom w:val="single" w:sz="4" w:space="0" w:color="auto"/>
              <w:right w:val="single" w:sz="4" w:space="0" w:color="auto"/>
            </w:tcBorders>
            <w:shd w:val="clear" w:color="000000" w:fill="93CDDD"/>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Likelihood</w:t>
            </w:r>
          </w:p>
        </w:tc>
        <w:tc>
          <w:tcPr>
            <w:tcW w:w="851" w:type="dxa"/>
            <w:vMerge w:val="restart"/>
            <w:tcBorders>
              <w:top w:val="nil"/>
              <w:left w:val="single" w:sz="4" w:space="0" w:color="auto"/>
              <w:bottom w:val="single" w:sz="4" w:space="0" w:color="auto"/>
              <w:right w:val="single" w:sz="4" w:space="0" w:color="auto"/>
            </w:tcBorders>
            <w:shd w:val="clear" w:color="000000" w:fill="93CDDD"/>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Risk</w:t>
            </w:r>
          </w:p>
        </w:tc>
        <w:tc>
          <w:tcPr>
            <w:tcW w:w="2693" w:type="dxa"/>
            <w:vMerge w:val="restart"/>
            <w:tcBorders>
              <w:top w:val="nil"/>
              <w:left w:val="single" w:sz="4" w:space="0" w:color="auto"/>
              <w:bottom w:val="single" w:sz="4" w:space="0" w:color="auto"/>
              <w:right w:val="single" w:sz="4" w:space="0" w:color="auto"/>
            </w:tcBorders>
            <w:shd w:val="clear" w:color="000000" w:fill="93CDDD"/>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Proposed Treatment / Mitigation</w:t>
            </w:r>
          </w:p>
        </w:tc>
        <w:tc>
          <w:tcPr>
            <w:tcW w:w="1559" w:type="dxa"/>
            <w:vMerge w:val="restart"/>
            <w:tcBorders>
              <w:top w:val="nil"/>
              <w:left w:val="single" w:sz="4" w:space="0" w:color="auto"/>
              <w:bottom w:val="single" w:sz="4" w:space="0" w:color="auto"/>
              <w:right w:val="single" w:sz="4" w:space="0" w:color="auto"/>
            </w:tcBorders>
            <w:shd w:val="clear" w:color="000000" w:fill="93CDDD"/>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Action Taken</w:t>
            </w:r>
          </w:p>
        </w:tc>
        <w:tc>
          <w:tcPr>
            <w:tcW w:w="1954" w:type="dxa"/>
            <w:gridSpan w:val="2"/>
            <w:tcBorders>
              <w:top w:val="single" w:sz="4" w:space="0" w:color="auto"/>
              <w:left w:val="nil"/>
              <w:bottom w:val="single" w:sz="4" w:space="0" w:color="auto"/>
              <w:right w:val="single" w:sz="8" w:space="0" w:color="000000"/>
            </w:tcBorders>
            <w:shd w:val="clear" w:color="000000" w:fill="93CDDD"/>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Risk Owner</w:t>
            </w:r>
          </w:p>
        </w:tc>
      </w:tr>
      <w:tr w:rsidR="00CE7005" w:rsidRPr="00CE7005" w:rsidTr="00CE7005">
        <w:trPr>
          <w:trHeight w:val="390"/>
          <w:tblHeader/>
        </w:trPr>
        <w:tc>
          <w:tcPr>
            <w:tcW w:w="838" w:type="dxa"/>
            <w:vMerge/>
            <w:tcBorders>
              <w:top w:val="nil"/>
              <w:left w:val="single" w:sz="8" w:space="0" w:color="auto"/>
              <w:bottom w:val="single" w:sz="4" w:space="0" w:color="auto"/>
              <w:right w:val="single" w:sz="4" w:space="0" w:color="auto"/>
            </w:tcBorders>
            <w:vAlign w:val="center"/>
            <w:hideMark/>
          </w:tcPr>
          <w:p w:rsidR="00CE7005" w:rsidRPr="00CE7005" w:rsidRDefault="00CE7005" w:rsidP="00CE7005">
            <w:pPr>
              <w:spacing w:after="0" w:line="240" w:lineRule="auto"/>
              <w:rPr>
                <w:rFonts w:ascii="Calibri" w:eastAsia="Times New Roman" w:hAnsi="Calibri" w:cs="Times New Roman"/>
                <w:b/>
                <w:bCs/>
                <w:color w:val="000000"/>
                <w:sz w:val="20"/>
                <w:szCs w:val="20"/>
                <w:lang w:eastAsia="en-GB"/>
              </w:rPr>
            </w:pPr>
          </w:p>
        </w:tc>
        <w:tc>
          <w:tcPr>
            <w:tcW w:w="2565" w:type="dxa"/>
            <w:vMerge/>
            <w:tcBorders>
              <w:top w:val="nil"/>
              <w:left w:val="single" w:sz="4" w:space="0" w:color="auto"/>
              <w:bottom w:val="single" w:sz="4" w:space="0" w:color="auto"/>
              <w:right w:val="single" w:sz="4" w:space="0" w:color="auto"/>
            </w:tcBorders>
            <w:vAlign w:val="center"/>
            <w:hideMark/>
          </w:tcPr>
          <w:p w:rsidR="00CE7005" w:rsidRPr="00CE7005" w:rsidRDefault="00CE7005" w:rsidP="00CE7005">
            <w:pPr>
              <w:spacing w:after="0" w:line="240" w:lineRule="auto"/>
              <w:rPr>
                <w:rFonts w:ascii="Calibri" w:eastAsia="Times New Roman" w:hAnsi="Calibri" w:cs="Times New Roman"/>
                <w:b/>
                <w:bCs/>
                <w:color w:val="000000"/>
                <w:sz w:val="20"/>
                <w:szCs w:val="20"/>
                <w:lang w:eastAsia="en-GB"/>
              </w:rPr>
            </w:pPr>
          </w:p>
        </w:tc>
        <w:tc>
          <w:tcPr>
            <w:tcW w:w="1559" w:type="dxa"/>
            <w:vMerge/>
            <w:tcBorders>
              <w:top w:val="nil"/>
              <w:left w:val="single" w:sz="4" w:space="0" w:color="auto"/>
              <w:bottom w:val="single" w:sz="4" w:space="0" w:color="auto"/>
              <w:right w:val="single" w:sz="4" w:space="0" w:color="auto"/>
            </w:tcBorders>
            <w:vAlign w:val="center"/>
            <w:hideMark/>
          </w:tcPr>
          <w:p w:rsidR="00CE7005" w:rsidRPr="00CE7005" w:rsidRDefault="00CE7005" w:rsidP="00CE7005">
            <w:pPr>
              <w:spacing w:after="0" w:line="240" w:lineRule="auto"/>
              <w:rPr>
                <w:rFonts w:ascii="Calibri" w:eastAsia="Times New Roman" w:hAnsi="Calibri" w:cs="Times New Roman"/>
                <w:b/>
                <w:bCs/>
                <w:color w:val="000000"/>
                <w:sz w:val="20"/>
                <w:szCs w:val="20"/>
                <w:lang w:eastAsia="en-GB"/>
              </w:rPr>
            </w:pPr>
          </w:p>
        </w:tc>
        <w:tc>
          <w:tcPr>
            <w:tcW w:w="1417" w:type="dxa"/>
            <w:tcBorders>
              <w:top w:val="nil"/>
              <w:left w:val="nil"/>
              <w:bottom w:val="single" w:sz="4" w:space="0" w:color="auto"/>
              <w:right w:val="single" w:sz="4" w:space="0" w:color="auto"/>
            </w:tcBorders>
            <w:shd w:val="clear" w:color="000000" w:fill="93CDDD"/>
            <w:noWrap/>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(1 - 5)</w:t>
            </w:r>
          </w:p>
        </w:tc>
        <w:tc>
          <w:tcPr>
            <w:tcW w:w="1276" w:type="dxa"/>
            <w:tcBorders>
              <w:top w:val="nil"/>
              <w:left w:val="nil"/>
              <w:bottom w:val="single" w:sz="4" w:space="0" w:color="auto"/>
              <w:right w:val="single" w:sz="4" w:space="0" w:color="auto"/>
            </w:tcBorders>
            <w:shd w:val="clear" w:color="000000" w:fill="93CDDD"/>
            <w:noWrap/>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(1 - 5)</w:t>
            </w:r>
          </w:p>
        </w:tc>
        <w:tc>
          <w:tcPr>
            <w:tcW w:w="851" w:type="dxa"/>
            <w:vMerge/>
            <w:tcBorders>
              <w:top w:val="nil"/>
              <w:left w:val="single" w:sz="4" w:space="0" w:color="auto"/>
              <w:bottom w:val="single" w:sz="4" w:space="0" w:color="auto"/>
              <w:right w:val="single" w:sz="4" w:space="0" w:color="auto"/>
            </w:tcBorders>
            <w:vAlign w:val="center"/>
            <w:hideMark/>
          </w:tcPr>
          <w:p w:rsidR="00CE7005" w:rsidRPr="00CE7005" w:rsidRDefault="00CE7005" w:rsidP="00CE7005">
            <w:pPr>
              <w:spacing w:after="0" w:line="240" w:lineRule="auto"/>
              <w:rPr>
                <w:rFonts w:ascii="Calibri" w:eastAsia="Times New Roman" w:hAnsi="Calibri" w:cs="Times New Roman"/>
                <w:b/>
                <w:bCs/>
                <w:color w:val="000000"/>
                <w:sz w:val="20"/>
                <w:szCs w:val="20"/>
                <w:lang w:eastAsia="en-GB"/>
              </w:rPr>
            </w:pPr>
          </w:p>
        </w:tc>
        <w:tc>
          <w:tcPr>
            <w:tcW w:w="2693" w:type="dxa"/>
            <w:vMerge/>
            <w:tcBorders>
              <w:top w:val="nil"/>
              <w:left w:val="single" w:sz="4" w:space="0" w:color="auto"/>
              <w:bottom w:val="single" w:sz="4" w:space="0" w:color="auto"/>
              <w:right w:val="single" w:sz="4" w:space="0" w:color="auto"/>
            </w:tcBorders>
            <w:vAlign w:val="center"/>
            <w:hideMark/>
          </w:tcPr>
          <w:p w:rsidR="00CE7005" w:rsidRPr="00CE7005" w:rsidRDefault="00CE7005" w:rsidP="00CE7005">
            <w:pPr>
              <w:spacing w:after="0" w:line="240" w:lineRule="auto"/>
              <w:rPr>
                <w:rFonts w:ascii="Calibri" w:eastAsia="Times New Roman" w:hAnsi="Calibri" w:cs="Times New Roman"/>
                <w:b/>
                <w:bCs/>
                <w:color w:val="000000"/>
                <w:sz w:val="20"/>
                <w:szCs w:val="20"/>
                <w:lang w:eastAsia="en-GB"/>
              </w:rPr>
            </w:pPr>
          </w:p>
        </w:tc>
        <w:tc>
          <w:tcPr>
            <w:tcW w:w="1559" w:type="dxa"/>
            <w:vMerge/>
            <w:tcBorders>
              <w:top w:val="nil"/>
              <w:left w:val="single" w:sz="4" w:space="0" w:color="auto"/>
              <w:bottom w:val="single" w:sz="4" w:space="0" w:color="auto"/>
              <w:right w:val="single" w:sz="4" w:space="0" w:color="auto"/>
            </w:tcBorders>
            <w:vAlign w:val="center"/>
            <w:hideMark/>
          </w:tcPr>
          <w:p w:rsidR="00CE7005" w:rsidRPr="00CE7005" w:rsidRDefault="00CE7005" w:rsidP="00CE7005">
            <w:pPr>
              <w:spacing w:after="0" w:line="240" w:lineRule="auto"/>
              <w:rPr>
                <w:rFonts w:ascii="Calibri" w:eastAsia="Times New Roman" w:hAnsi="Calibri" w:cs="Times New Roman"/>
                <w:b/>
                <w:bCs/>
                <w:color w:val="000000"/>
                <w:sz w:val="20"/>
                <w:szCs w:val="20"/>
                <w:lang w:eastAsia="en-GB"/>
              </w:rPr>
            </w:pPr>
          </w:p>
        </w:tc>
        <w:tc>
          <w:tcPr>
            <w:tcW w:w="914" w:type="dxa"/>
            <w:tcBorders>
              <w:top w:val="nil"/>
              <w:left w:val="nil"/>
              <w:bottom w:val="single" w:sz="4" w:space="0" w:color="auto"/>
              <w:right w:val="single" w:sz="4" w:space="0" w:color="auto"/>
            </w:tcBorders>
            <w:shd w:val="clear" w:color="000000" w:fill="93CDDD"/>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Type</w:t>
            </w:r>
          </w:p>
        </w:tc>
        <w:tc>
          <w:tcPr>
            <w:tcW w:w="1040" w:type="dxa"/>
            <w:tcBorders>
              <w:top w:val="nil"/>
              <w:left w:val="nil"/>
              <w:bottom w:val="single" w:sz="4" w:space="0" w:color="auto"/>
              <w:right w:val="single" w:sz="8" w:space="0" w:color="auto"/>
            </w:tcBorders>
            <w:shd w:val="clear" w:color="000000" w:fill="93CDDD"/>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Individual</w:t>
            </w:r>
          </w:p>
        </w:tc>
      </w:tr>
      <w:tr w:rsidR="00CE7005" w:rsidRPr="00CE7005" w:rsidTr="00CE7005">
        <w:trPr>
          <w:trHeight w:val="465"/>
        </w:trPr>
        <w:tc>
          <w:tcPr>
            <w:tcW w:w="4962" w:type="dxa"/>
            <w:gridSpan w:val="3"/>
            <w:tcBorders>
              <w:top w:val="single" w:sz="4" w:space="0" w:color="auto"/>
              <w:left w:val="single" w:sz="8" w:space="0" w:color="auto"/>
              <w:bottom w:val="single" w:sz="4" w:space="0" w:color="auto"/>
              <w:right w:val="single" w:sz="4" w:space="0" w:color="000000"/>
            </w:tcBorders>
            <w:shd w:val="clear" w:color="000000" w:fill="FFFF66"/>
            <w:noWrap/>
            <w:vAlign w:val="center"/>
            <w:hideMark/>
          </w:tcPr>
          <w:p w:rsidR="00CE7005" w:rsidRPr="00CE7005" w:rsidRDefault="00CE7005" w:rsidP="00CE7005">
            <w:pPr>
              <w:spacing w:after="0" w:line="240" w:lineRule="auto"/>
              <w:rPr>
                <w:rFonts w:ascii="Calibri" w:eastAsia="Times New Roman" w:hAnsi="Calibri" w:cs="Times New Roman"/>
                <w:b/>
                <w:bCs/>
                <w:color w:val="000000"/>
                <w:sz w:val="28"/>
                <w:szCs w:val="28"/>
                <w:lang w:eastAsia="en-GB"/>
              </w:rPr>
            </w:pPr>
            <w:r w:rsidRPr="00CE7005">
              <w:rPr>
                <w:rFonts w:ascii="Calibri" w:eastAsia="Times New Roman" w:hAnsi="Calibri" w:cs="Times New Roman"/>
                <w:b/>
                <w:bCs/>
                <w:color w:val="000000"/>
                <w:sz w:val="28"/>
                <w:szCs w:val="28"/>
                <w:lang w:eastAsia="en-GB"/>
              </w:rPr>
              <w:t>CLIENT / BUSINESS RISKS</w:t>
            </w:r>
          </w:p>
        </w:tc>
        <w:tc>
          <w:tcPr>
            <w:tcW w:w="1417"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b/>
                <w:bCs/>
                <w:color w:val="000000"/>
                <w:sz w:val="28"/>
                <w:szCs w:val="28"/>
                <w:lang w:eastAsia="en-GB"/>
              </w:rPr>
            </w:pPr>
            <w:r w:rsidRPr="00CE7005">
              <w:rPr>
                <w:rFonts w:ascii="Calibri" w:eastAsia="Times New Roman" w:hAnsi="Calibri" w:cs="Times New Roman"/>
                <w:b/>
                <w:bCs/>
                <w:color w:val="000000"/>
                <w:sz w:val="28"/>
                <w:szCs w:val="28"/>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b/>
                <w:bCs/>
                <w:color w:val="000000"/>
                <w:sz w:val="28"/>
                <w:szCs w:val="28"/>
                <w:lang w:eastAsia="en-GB"/>
              </w:rPr>
            </w:pPr>
            <w:r w:rsidRPr="00CE7005">
              <w:rPr>
                <w:rFonts w:ascii="Calibri" w:eastAsia="Times New Roman" w:hAnsi="Calibri" w:cs="Times New Roman"/>
                <w:b/>
                <w:bCs/>
                <w:color w:val="000000"/>
                <w:sz w:val="28"/>
                <w:szCs w:val="28"/>
                <w:lang w:eastAsia="en-GB"/>
              </w:rPr>
              <w:t> </w:t>
            </w:r>
          </w:p>
        </w:tc>
        <w:tc>
          <w:tcPr>
            <w:tcW w:w="851"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b/>
                <w:bCs/>
                <w:color w:val="000000"/>
                <w:sz w:val="28"/>
                <w:szCs w:val="28"/>
                <w:lang w:eastAsia="en-GB"/>
              </w:rPr>
            </w:pPr>
            <w:r w:rsidRPr="00CE7005">
              <w:rPr>
                <w:rFonts w:ascii="Calibri" w:eastAsia="Times New Roman" w:hAnsi="Calibri" w:cs="Times New Roman"/>
                <w:b/>
                <w:bCs/>
                <w:color w:val="000000"/>
                <w:sz w:val="28"/>
                <w:szCs w:val="28"/>
                <w:lang w:eastAsia="en-GB"/>
              </w:rPr>
              <w:t> </w:t>
            </w:r>
          </w:p>
        </w:tc>
        <w:tc>
          <w:tcPr>
            <w:tcW w:w="1559"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914"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040" w:type="dxa"/>
            <w:tcBorders>
              <w:top w:val="nil"/>
              <w:left w:val="nil"/>
              <w:bottom w:val="single" w:sz="4" w:space="0" w:color="auto"/>
              <w:right w:val="single" w:sz="8"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r>
      <w:tr w:rsidR="00CE7005" w:rsidRPr="00CE7005" w:rsidTr="00CE7005">
        <w:trPr>
          <w:trHeight w:val="255"/>
        </w:trPr>
        <w:tc>
          <w:tcPr>
            <w:tcW w:w="838" w:type="dxa"/>
            <w:tcBorders>
              <w:top w:val="nil"/>
              <w:left w:val="single" w:sz="8" w:space="0" w:color="auto"/>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1.0</w:t>
            </w:r>
          </w:p>
        </w:tc>
        <w:tc>
          <w:tcPr>
            <w:tcW w:w="2565"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Business risk</w:t>
            </w:r>
          </w:p>
        </w:tc>
        <w:tc>
          <w:tcPr>
            <w:tcW w:w="1559"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693"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914"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040" w:type="dxa"/>
            <w:tcBorders>
              <w:top w:val="nil"/>
              <w:left w:val="nil"/>
              <w:bottom w:val="single" w:sz="4" w:space="0" w:color="auto"/>
              <w:right w:val="single" w:sz="8"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r>
      <w:tr w:rsidR="00CE7005" w:rsidRPr="00CE7005" w:rsidTr="00CE7005">
        <w:trPr>
          <w:trHeight w:val="1245"/>
        </w:trPr>
        <w:tc>
          <w:tcPr>
            <w:tcW w:w="838" w:type="dxa"/>
            <w:tcBorders>
              <w:top w:val="nil"/>
              <w:left w:val="single" w:sz="8" w:space="0" w:color="auto"/>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1.1</w:t>
            </w:r>
          </w:p>
        </w:tc>
        <w:tc>
          <w:tcPr>
            <w:tcW w:w="2565" w:type="dxa"/>
            <w:tcBorders>
              <w:top w:val="nil"/>
              <w:left w:val="nil"/>
              <w:bottom w:val="single" w:sz="4" w:space="0" w:color="auto"/>
              <w:right w:val="single" w:sz="4" w:space="0" w:color="auto"/>
            </w:tcBorders>
            <w:shd w:val="clear" w:color="auto" w:fill="auto"/>
            <w:vAlign w:val="center"/>
            <w:hideMark/>
          </w:tcPr>
          <w:p w:rsidR="00CE7005" w:rsidRPr="00CE7005" w:rsidRDefault="0081386D" w:rsidP="00CE7005">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The project disrupts day to day business operations</w:t>
            </w:r>
          </w:p>
        </w:tc>
        <w:tc>
          <w:tcPr>
            <w:tcW w:w="1559"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693" w:type="dxa"/>
            <w:tcBorders>
              <w:top w:val="nil"/>
              <w:left w:val="nil"/>
              <w:bottom w:val="single" w:sz="4" w:space="0" w:color="auto"/>
              <w:right w:val="single" w:sz="4" w:space="0" w:color="auto"/>
            </w:tcBorders>
            <w:shd w:val="clear" w:color="auto" w:fill="auto"/>
            <w:vAlign w:val="center"/>
            <w:hideMark/>
          </w:tcPr>
          <w:p w:rsidR="00CE7005" w:rsidRPr="00CE7005" w:rsidRDefault="0081386D" w:rsidP="00CE7005">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Set up regular review points throughout the life of the project to monitor and respond to the impact of the project on normal activities</w:t>
            </w:r>
          </w:p>
        </w:tc>
        <w:tc>
          <w:tcPr>
            <w:tcW w:w="1559"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914"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040" w:type="dxa"/>
            <w:tcBorders>
              <w:top w:val="nil"/>
              <w:left w:val="nil"/>
              <w:bottom w:val="single" w:sz="4" w:space="0" w:color="auto"/>
              <w:right w:val="single" w:sz="8"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r>
      <w:tr w:rsidR="00CE7005" w:rsidRPr="00CE7005" w:rsidTr="00CE7005">
        <w:trPr>
          <w:trHeight w:val="1020"/>
        </w:trPr>
        <w:tc>
          <w:tcPr>
            <w:tcW w:w="838" w:type="dxa"/>
            <w:tcBorders>
              <w:top w:val="nil"/>
              <w:left w:val="single" w:sz="8" w:space="0" w:color="auto"/>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1.2</w:t>
            </w:r>
          </w:p>
        </w:tc>
        <w:tc>
          <w:tcPr>
            <w:tcW w:w="2565"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Client doesn't have the capacity or capability to deliver the project</w:t>
            </w:r>
          </w:p>
        </w:tc>
        <w:tc>
          <w:tcPr>
            <w:tcW w:w="1559"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693"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Develop appropriate governance arrangements for the project including resource planning and individual skills review</w:t>
            </w:r>
          </w:p>
        </w:tc>
        <w:tc>
          <w:tcPr>
            <w:tcW w:w="1559"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914"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040" w:type="dxa"/>
            <w:tcBorders>
              <w:top w:val="nil"/>
              <w:left w:val="nil"/>
              <w:bottom w:val="single" w:sz="4" w:space="0" w:color="auto"/>
              <w:right w:val="single" w:sz="8"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r>
      <w:tr w:rsidR="0089178C" w:rsidRPr="00CE7005" w:rsidTr="00CE7005">
        <w:trPr>
          <w:trHeight w:val="1275"/>
        </w:trPr>
        <w:tc>
          <w:tcPr>
            <w:tcW w:w="838" w:type="dxa"/>
            <w:tcBorders>
              <w:top w:val="nil"/>
              <w:left w:val="single" w:sz="8" w:space="0" w:color="auto"/>
              <w:bottom w:val="single" w:sz="4" w:space="0" w:color="auto"/>
              <w:right w:val="single" w:sz="4" w:space="0" w:color="auto"/>
            </w:tcBorders>
            <w:shd w:val="clear" w:color="auto" w:fill="auto"/>
            <w:noWrap/>
            <w:vAlign w:val="center"/>
            <w:hideMark/>
          </w:tcPr>
          <w:p w:rsidR="0089178C" w:rsidRPr="00CE7005" w:rsidRDefault="0089178C" w:rsidP="00CE7005">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1.</w:t>
            </w:r>
            <w:r w:rsidR="0081386D">
              <w:rPr>
                <w:rFonts w:ascii="Calibri" w:eastAsia="Times New Roman" w:hAnsi="Calibri" w:cs="Times New Roman"/>
                <w:color w:val="000000"/>
                <w:sz w:val="20"/>
                <w:szCs w:val="20"/>
                <w:lang w:eastAsia="en-GB"/>
              </w:rPr>
              <w:t>3</w:t>
            </w:r>
          </w:p>
        </w:tc>
        <w:tc>
          <w:tcPr>
            <w:tcW w:w="2565" w:type="dxa"/>
            <w:tcBorders>
              <w:top w:val="nil"/>
              <w:left w:val="nil"/>
              <w:bottom w:val="single" w:sz="4" w:space="0" w:color="auto"/>
              <w:right w:val="single" w:sz="4" w:space="0" w:color="auto"/>
            </w:tcBorders>
            <w:shd w:val="clear" w:color="auto" w:fill="auto"/>
            <w:vAlign w:val="center"/>
            <w:hideMark/>
          </w:tcPr>
          <w:p w:rsidR="0089178C" w:rsidRPr="00CE7005" w:rsidRDefault="0081386D" w:rsidP="00CE7005">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The clinical need for change</w:t>
            </w:r>
            <w:r w:rsidR="0089178C">
              <w:rPr>
                <w:rFonts w:ascii="Calibri" w:eastAsia="Times New Roman" w:hAnsi="Calibri" w:cs="Times New Roman"/>
                <w:color w:val="000000"/>
                <w:sz w:val="20"/>
                <w:szCs w:val="20"/>
                <w:lang w:eastAsia="en-GB"/>
              </w:rPr>
              <w:t xml:space="preserve"> and expected outcomes isn’t clearly defined</w:t>
            </w:r>
          </w:p>
        </w:tc>
        <w:tc>
          <w:tcPr>
            <w:tcW w:w="1559" w:type="dxa"/>
            <w:tcBorders>
              <w:top w:val="nil"/>
              <w:left w:val="nil"/>
              <w:bottom w:val="single" w:sz="4" w:space="0" w:color="auto"/>
              <w:right w:val="single" w:sz="4" w:space="0" w:color="auto"/>
            </w:tcBorders>
            <w:shd w:val="clear" w:color="auto" w:fill="auto"/>
            <w:vAlign w:val="center"/>
            <w:hideMark/>
          </w:tcPr>
          <w:p w:rsidR="0089178C" w:rsidRPr="00CE7005" w:rsidRDefault="0089178C" w:rsidP="00CE7005">
            <w:pPr>
              <w:spacing w:after="0" w:line="240" w:lineRule="auto"/>
              <w:jc w:val="center"/>
              <w:rPr>
                <w:rFonts w:ascii="Calibri" w:eastAsia="Times New Roman" w:hAnsi="Calibri" w:cs="Times New Roman"/>
                <w:b/>
                <w:bCs/>
                <w:color w:val="000000"/>
                <w:sz w:val="20"/>
                <w:szCs w:val="20"/>
                <w:lang w:eastAsia="en-GB"/>
              </w:rPr>
            </w:pPr>
          </w:p>
        </w:tc>
        <w:tc>
          <w:tcPr>
            <w:tcW w:w="1417" w:type="dxa"/>
            <w:tcBorders>
              <w:top w:val="nil"/>
              <w:left w:val="nil"/>
              <w:bottom w:val="single" w:sz="4" w:space="0" w:color="auto"/>
              <w:right w:val="single" w:sz="4" w:space="0" w:color="auto"/>
            </w:tcBorders>
            <w:shd w:val="clear" w:color="auto" w:fill="auto"/>
            <w:noWrap/>
            <w:vAlign w:val="center"/>
            <w:hideMark/>
          </w:tcPr>
          <w:p w:rsidR="0089178C" w:rsidRPr="00CE7005" w:rsidRDefault="0089178C" w:rsidP="00CE7005">
            <w:pPr>
              <w:spacing w:after="0" w:line="240" w:lineRule="auto"/>
              <w:jc w:val="center"/>
              <w:rPr>
                <w:rFonts w:ascii="Calibri" w:eastAsia="Times New Roman" w:hAnsi="Calibri" w:cs="Times New Roman"/>
                <w:color w:val="000000"/>
                <w:sz w:val="20"/>
                <w:szCs w:val="20"/>
                <w:lang w:eastAsia="en-GB"/>
              </w:rPr>
            </w:pPr>
          </w:p>
        </w:tc>
        <w:tc>
          <w:tcPr>
            <w:tcW w:w="1276" w:type="dxa"/>
            <w:tcBorders>
              <w:top w:val="nil"/>
              <w:left w:val="nil"/>
              <w:bottom w:val="single" w:sz="4" w:space="0" w:color="auto"/>
              <w:right w:val="single" w:sz="4" w:space="0" w:color="auto"/>
            </w:tcBorders>
            <w:shd w:val="clear" w:color="auto" w:fill="auto"/>
            <w:noWrap/>
            <w:vAlign w:val="center"/>
            <w:hideMark/>
          </w:tcPr>
          <w:p w:rsidR="0089178C" w:rsidRPr="00CE7005" w:rsidRDefault="0089178C" w:rsidP="00CE7005">
            <w:pPr>
              <w:spacing w:after="0" w:line="240" w:lineRule="auto"/>
              <w:jc w:val="center"/>
              <w:rPr>
                <w:rFonts w:ascii="Calibri" w:eastAsia="Times New Roman" w:hAnsi="Calibri" w:cs="Times New Roman"/>
                <w:color w:val="000000"/>
                <w:sz w:val="20"/>
                <w:szCs w:val="20"/>
                <w:lang w:eastAsia="en-GB"/>
              </w:rPr>
            </w:pPr>
          </w:p>
        </w:tc>
        <w:tc>
          <w:tcPr>
            <w:tcW w:w="851" w:type="dxa"/>
            <w:tcBorders>
              <w:top w:val="nil"/>
              <w:left w:val="nil"/>
              <w:bottom w:val="single" w:sz="4" w:space="0" w:color="auto"/>
              <w:right w:val="single" w:sz="4" w:space="0" w:color="auto"/>
            </w:tcBorders>
            <w:shd w:val="clear" w:color="auto" w:fill="auto"/>
            <w:noWrap/>
            <w:vAlign w:val="center"/>
            <w:hideMark/>
          </w:tcPr>
          <w:p w:rsidR="0089178C" w:rsidRPr="00CE7005" w:rsidRDefault="0089178C" w:rsidP="00CE7005">
            <w:pPr>
              <w:spacing w:after="0" w:line="240" w:lineRule="auto"/>
              <w:jc w:val="center"/>
              <w:rPr>
                <w:rFonts w:ascii="Calibri" w:eastAsia="Times New Roman" w:hAnsi="Calibri" w:cs="Times New Roman"/>
                <w:color w:val="000000"/>
                <w:sz w:val="20"/>
                <w:szCs w:val="20"/>
                <w:lang w:eastAsia="en-GB"/>
              </w:rPr>
            </w:pPr>
          </w:p>
        </w:tc>
        <w:tc>
          <w:tcPr>
            <w:tcW w:w="2693" w:type="dxa"/>
            <w:tcBorders>
              <w:top w:val="nil"/>
              <w:left w:val="nil"/>
              <w:bottom w:val="single" w:sz="4" w:space="0" w:color="auto"/>
              <w:right w:val="single" w:sz="4" w:space="0" w:color="auto"/>
            </w:tcBorders>
            <w:shd w:val="clear" w:color="auto" w:fill="auto"/>
            <w:vAlign w:val="center"/>
            <w:hideMark/>
          </w:tcPr>
          <w:p w:rsidR="0089178C" w:rsidRPr="00CE7005" w:rsidRDefault="0089178C" w:rsidP="00CE7005">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Set out a plan to engage with service providers to fully understand the service based need for change and the expected outcome from investment</w:t>
            </w:r>
          </w:p>
        </w:tc>
        <w:tc>
          <w:tcPr>
            <w:tcW w:w="1559" w:type="dxa"/>
            <w:tcBorders>
              <w:top w:val="nil"/>
              <w:left w:val="nil"/>
              <w:bottom w:val="single" w:sz="4" w:space="0" w:color="auto"/>
              <w:right w:val="single" w:sz="4" w:space="0" w:color="auto"/>
            </w:tcBorders>
            <w:shd w:val="clear" w:color="auto" w:fill="auto"/>
            <w:noWrap/>
            <w:vAlign w:val="center"/>
            <w:hideMark/>
          </w:tcPr>
          <w:p w:rsidR="0089178C" w:rsidRPr="00CE7005" w:rsidRDefault="0089178C" w:rsidP="00CE7005">
            <w:pPr>
              <w:spacing w:after="0" w:line="240" w:lineRule="auto"/>
              <w:rPr>
                <w:rFonts w:ascii="Calibri" w:eastAsia="Times New Roman" w:hAnsi="Calibri" w:cs="Times New Roman"/>
                <w:color w:val="000000"/>
                <w:sz w:val="20"/>
                <w:szCs w:val="20"/>
                <w:lang w:eastAsia="en-GB"/>
              </w:rPr>
            </w:pPr>
          </w:p>
        </w:tc>
        <w:tc>
          <w:tcPr>
            <w:tcW w:w="914" w:type="dxa"/>
            <w:tcBorders>
              <w:top w:val="nil"/>
              <w:left w:val="nil"/>
              <w:bottom w:val="single" w:sz="4" w:space="0" w:color="auto"/>
              <w:right w:val="single" w:sz="4" w:space="0" w:color="auto"/>
            </w:tcBorders>
            <w:shd w:val="clear" w:color="auto" w:fill="auto"/>
            <w:noWrap/>
            <w:vAlign w:val="center"/>
            <w:hideMark/>
          </w:tcPr>
          <w:p w:rsidR="0089178C" w:rsidRPr="00CE7005" w:rsidRDefault="0089178C" w:rsidP="00CE7005">
            <w:pPr>
              <w:spacing w:after="0" w:line="240" w:lineRule="auto"/>
              <w:jc w:val="center"/>
              <w:rPr>
                <w:rFonts w:ascii="Calibri" w:eastAsia="Times New Roman" w:hAnsi="Calibri" w:cs="Times New Roman"/>
                <w:color w:val="000000"/>
                <w:sz w:val="20"/>
                <w:szCs w:val="20"/>
                <w:lang w:eastAsia="en-GB"/>
              </w:rPr>
            </w:pPr>
          </w:p>
        </w:tc>
        <w:tc>
          <w:tcPr>
            <w:tcW w:w="1040" w:type="dxa"/>
            <w:tcBorders>
              <w:top w:val="nil"/>
              <w:left w:val="nil"/>
              <w:bottom w:val="single" w:sz="4" w:space="0" w:color="auto"/>
              <w:right w:val="single" w:sz="8" w:space="0" w:color="auto"/>
            </w:tcBorders>
            <w:shd w:val="clear" w:color="auto" w:fill="auto"/>
            <w:noWrap/>
            <w:vAlign w:val="center"/>
            <w:hideMark/>
          </w:tcPr>
          <w:p w:rsidR="0089178C" w:rsidRPr="00CE7005" w:rsidRDefault="0089178C" w:rsidP="00CE7005">
            <w:pPr>
              <w:spacing w:after="0" w:line="240" w:lineRule="auto"/>
              <w:jc w:val="center"/>
              <w:rPr>
                <w:rFonts w:ascii="Calibri" w:eastAsia="Times New Roman" w:hAnsi="Calibri" w:cs="Times New Roman"/>
                <w:color w:val="000000"/>
                <w:sz w:val="20"/>
                <w:szCs w:val="20"/>
                <w:lang w:eastAsia="en-GB"/>
              </w:rPr>
            </w:pPr>
          </w:p>
        </w:tc>
      </w:tr>
      <w:tr w:rsidR="00CE7005" w:rsidRPr="00CE7005" w:rsidTr="0089178C">
        <w:trPr>
          <w:trHeight w:val="1747"/>
        </w:trPr>
        <w:tc>
          <w:tcPr>
            <w:tcW w:w="838" w:type="dxa"/>
            <w:tcBorders>
              <w:top w:val="nil"/>
              <w:left w:val="single" w:sz="8" w:space="0" w:color="auto"/>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1.</w:t>
            </w:r>
            <w:r w:rsidR="0081386D">
              <w:rPr>
                <w:rFonts w:ascii="Calibri" w:eastAsia="Times New Roman" w:hAnsi="Calibri" w:cs="Times New Roman"/>
                <w:color w:val="000000"/>
                <w:sz w:val="20"/>
                <w:szCs w:val="20"/>
                <w:lang w:eastAsia="en-GB"/>
              </w:rPr>
              <w:t>4</w:t>
            </w:r>
          </w:p>
        </w:tc>
        <w:tc>
          <w:tcPr>
            <w:tcW w:w="2565"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Poo</w:t>
            </w:r>
            <w:r w:rsidR="0081386D">
              <w:rPr>
                <w:rFonts w:ascii="Calibri" w:eastAsia="Times New Roman" w:hAnsi="Calibri" w:cs="Times New Roman"/>
                <w:color w:val="000000"/>
                <w:sz w:val="20"/>
                <w:szCs w:val="20"/>
                <w:lang w:eastAsia="en-GB"/>
              </w:rPr>
              <w:t>r stakeholder involvement</w:t>
            </w:r>
            <w:r w:rsidRPr="00CE7005">
              <w:rPr>
                <w:rFonts w:ascii="Calibri" w:eastAsia="Times New Roman" w:hAnsi="Calibri" w:cs="Times New Roman"/>
                <w:color w:val="000000"/>
                <w:sz w:val="20"/>
                <w:szCs w:val="20"/>
                <w:lang w:eastAsia="en-GB"/>
              </w:rPr>
              <w:t xml:space="preserve"> result</w:t>
            </w:r>
            <w:r w:rsidR="0081386D">
              <w:rPr>
                <w:rFonts w:ascii="Calibri" w:eastAsia="Times New Roman" w:hAnsi="Calibri" w:cs="Times New Roman"/>
                <w:color w:val="000000"/>
                <w:sz w:val="20"/>
                <w:szCs w:val="20"/>
                <w:lang w:eastAsia="en-GB"/>
              </w:rPr>
              <w:t>s</w:t>
            </w:r>
            <w:r w:rsidRPr="00CE7005">
              <w:rPr>
                <w:rFonts w:ascii="Calibri" w:eastAsia="Times New Roman" w:hAnsi="Calibri" w:cs="Times New Roman"/>
                <w:color w:val="000000"/>
                <w:sz w:val="20"/>
                <w:szCs w:val="20"/>
                <w:lang w:eastAsia="en-GB"/>
              </w:rPr>
              <w:t xml:space="preserve"> in a lack of support for </w:t>
            </w:r>
            <w:r w:rsidR="0081386D">
              <w:rPr>
                <w:rFonts w:ascii="Calibri" w:eastAsia="Times New Roman" w:hAnsi="Calibri" w:cs="Times New Roman"/>
                <w:color w:val="000000"/>
                <w:sz w:val="20"/>
                <w:szCs w:val="20"/>
                <w:lang w:eastAsia="en-GB"/>
              </w:rPr>
              <w:t xml:space="preserve">the </w:t>
            </w:r>
            <w:r w:rsidRPr="00CE7005">
              <w:rPr>
                <w:rFonts w:ascii="Calibri" w:eastAsia="Times New Roman" w:hAnsi="Calibri" w:cs="Times New Roman"/>
                <w:color w:val="000000"/>
                <w:sz w:val="20"/>
                <w:szCs w:val="20"/>
                <w:lang w:eastAsia="en-GB"/>
              </w:rPr>
              <w:t>project</w:t>
            </w:r>
          </w:p>
        </w:tc>
        <w:tc>
          <w:tcPr>
            <w:tcW w:w="1559"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693"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Prepare and implement an appropriate project communication plan which engag</w:t>
            </w:r>
            <w:r>
              <w:rPr>
                <w:rFonts w:ascii="Calibri" w:eastAsia="Times New Roman" w:hAnsi="Calibri" w:cs="Times New Roman"/>
                <w:color w:val="000000"/>
                <w:sz w:val="20"/>
                <w:szCs w:val="20"/>
                <w:lang w:eastAsia="en-GB"/>
              </w:rPr>
              <w:t>es</w:t>
            </w:r>
            <w:r w:rsidRPr="00CE7005">
              <w:rPr>
                <w:rFonts w:ascii="Calibri" w:eastAsia="Times New Roman" w:hAnsi="Calibri" w:cs="Times New Roman"/>
                <w:color w:val="000000"/>
                <w:sz w:val="20"/>
                <w:szCs w:val="20"/>
                <w:lang w:eastAsia="en-GB"/>
              </w:rPr>
              <w:t xml:space="preserve"> with all appropriate stakeholders at appropriate stages of the project</w:t>
            </w:r>
          </w:p>
        </w:tc>
        <w:tc>
          <w:tcPr>
            <w:tcW w:w="1559"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914"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040" w:type="dxa"/>
            <w:tcBorders>
              <w:top w:val="nil"/>
              <w:left w:val="nil"/>
              <w:bottom w:val="single" w:sz="4" w:space="0" w:color="auto"/>
              <w:right w:val="single" w:sz="8"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r>
      <w:tr w:rsidR="00CE7005" w:rsidRPr="00CE7005" w:rsidTr="00CE7005">
        <w:trPr>
          <w:trHeight w:val="255"/>
        </w:trPr>
        <w:tc>
          <w:tcPr>
            <w:tcW w:w="838" w:type="dxa"/>
            <w:tcBorders>
              <w:top w:val="nil"/>
              <w:left w:val="single" w:sz="8" w:space="0" w:color="auto"/>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2.0</w:t>
            </w:r>
          </w:p>
        </w:tc>
        <w:tc>
          <w:tcPr>
            <w:tcW w:w="2565"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Reputational risk</w:t>
            </w:r>
          </w:p>
        </w:tc>
        <w:tc>
          <w:tcPr>
            <w:tcW w:w="1559"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693"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914"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040" w:type="dxa"/>
            <w:tcBorders>
              <w:top w:val="nil"/>
              <w:left w:val="nil"/>
              <w:bottom w:val="single" w:sz="4" w:space="0" w:color="auto"/>
              <w:right w:val="single" w:sz="8"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r>
      <w:tr w:rsidR="00CE7005" w:rsidRPr="00CE7005" w:rsidTr="0089178C">
        <w:trPr>
          <w:trHeight w:val="995"/>
        </w:trPr>
        <w:tc>
          <w:tcPr>
            <w:tcW w:w="838" w:type="dxa"/>
            <w:tcBorders>
              <w:top w:val="nil"/>
              <w:left w:val="single" w:sz="8" w:space="0" w:color="auto"/>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2.1</w:t>
            </w:r>
          </w:p>
        </w:tc>
        <w:tc>
          <w:tcPr>
            <w:tcW w:w="2565"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81386D">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Adverse publicity occurs due to an issue</w:t>
            </w:r>
            <w:r w:rsidR="0081386D">
              <w:rPr>
                <w:rFonts w:ascii="Calibri" w:eastAsia="Times New Roman" w:hAnsi="Calibri" w:cs="Times New Roman"/>
                <w:color w:val="000000"/>
                <w:sz w:val="20"/>
                <w:szCs w:val="20"/>
                <w:lang w:eastAsia="en-GB"/>
              </w:rPr>
              <w:t xml:space="preserve"> with the project</w:t>
            </w:r>
          </w:p>
        </w:tc>
        <w:tc>
          <w:tcPr>
            <w:tcW w:w="1559"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693"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81386D">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xml:space="preserve">Review </w:t>
            </w:r>
            <w:r w:rsidR="0081386D">
              <w:rPr>
                <w:rFonts w:ascii="Calibri" w:eastAsia="Times New Roman" w:hAnsi="Calibri" w:cs="Times New Roman"/>
                <w:color w:val="000000"/>
                <w:sz w:val="20"/>
                <w:szCs w:val="20"/>
                <w:lang w:eastAsia="en-GB"/>
              </w:rPr>
              <w:t>the reputational impact of all risks in this register and take action</w:t>
            </w:r>
          </w:p>
        </w:tc>
        <w:tc>
          <w:tcPr>
            <w:tcW w:w="1559"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914"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040" w:type="dxa"/>
            <w:tcBorders>
              <w:top w:val="nil"/>
              <w:left w:val="nil"/>
              <w:bottom w:val="single" w:sz="4" w:space="0" w:color="auto"/>
              <w:right w:val="single" w:sz="8"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r>
      <w:tr w:rsidR="00CE7005" w:rsidRPr="00CE7005" w:rsidTr="0089178C">
        <w:trPr>
          <w:trHeight w:val="1690"/>
        </w:trPr>
        <w:tc>
          <w:tcPr>
            <w:tcW w:w="838" w:type="dxa"/>
            <w:tcBorders>
              <w:top w:val="nil"/>
              <w:left w:val="single" w:sz="8" w:space="0" w:color="auto"/>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lastRenderedPageBreak/>
              <w:t>2.2</w:t>
            </w:r>
          </w:p>
        </w:tc>
        <w:tc>
          <w:tcPr>
            <w:tcW w:w="2565" w:type="dxa"/>
            <w:tcBorders>
              <w:top w:val="nil"/>
              <w:left w:val="nil"/>
              <w:bottom w:val="single" w:sz="4" w:space="0" w:color="auto"/>
              <w:right w:val="single" w:sz="4" w:space="0" w:color="auto"/>
            </w:tcBorders>
            <w:shd w:val="clear" w:color="auto" w:fill="auto"/>
            <w:vAlign w:val="center"/>
            <w:hideMark/>
          </w:tcPr>
          <w:p w:rsidR="00CE7005" w:rsidRPr="00CE7005" w:rsidRDefault="0081386D" w:rsidP="0081386D">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Poor c</w:t>
            </w:r>
            <w:r w:rsidR="00CE7005" w:rsidRPr="00CE7005">
              <w:rPr>
                <w:rFonts w:ascii="Calibri" w:eastAsia="Times New Roman" w:hAnsi="Calibri" w:cs="Times New Roman"/>
                <w:color w:val="000000"/>
                <w:sz w:val="20"/>
                <w:szCs w:val="20"/>
                <w:lang w:eastAsia="en-GB"/>
              </w:rPr>
              <w:t xml:space="preserve">ommunication </w:t>
            </w:r>
            <w:r>
              <w:rPr>
                <w:rFonts w:ascii="Calibri" w:eastAsia="Times New Roman" w:hAnsi="Calibri" w:cs="Times New Roman"/>
                <w:color w:val="000000"/>
                <w:sz w:val="20"/>
                <w:szCs w:val="20"/>
                <w:lang w:eastAsia="en-GB"/>
              </w:rPr>
              <w:t>ignores stakeholder interests</w:t>
            </w:r>
          </w:p>
        </w:tc>
        <w:tc>
          <w:tcPr>
            <w:tcW w:w="1559"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693" w:type="dxa"/>
            <w:tcBorders>
              <w:top w:val="nil"/>
              <w:left w:val="nil"/>
              <w:bottom w:val="single" w:sz="4" w:space="0" w:color="auto"/>
              <w:right w:val="single" w:sz="4" w:space="0" w:color="auto"/>
            </w:tcBorders>
            <w:shd w:val="clear" w:color="auto" w:fill="auto"/>
            <w:vAlign w:val="center"/>
            <w:hideMark/>
          </w:tcPr>
          <w:p w:rsidR="0081386D" w:rsidRPr="00CE7005" w:rsidRDefault="00CE7005" w:rsidP="0081386D">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Ensure that the project</w:t>
            </w:r>
            <w:r w:rsidR="0081386D">
              <w:rPr>
                <w:rFonts w:ascii="Calibri" w:eastAsia="Times New Roman" w:hAnsi="Calibri" w:cs="Times New Roman"/>
                <w:color w:val="000000"/>
                <w:sz w:val="20"/>
                <w:szCs w:val="20"/>
                <w:lang w:eastAsia="en-GB"/>
              </w:rPr>
              <w:t xml:space="preserve"> communication plan covers</w:t>
            </w:r>
            <w:r w:rsidRPr="00CE7005">
              <w:rPr>
                <w:rFonts w:ascii="Calibri" w:eastAsia="Times New Roman" w:hAnsi="Calibri" w:cs="Times New Roman"/>
                <w:color w:val="000000"/>
                <w:sz w:val="20"/>
                <w:szCs w:val="20"/>
                <w:lang w:eastAsia="en-GB"/>
              </w:rPr>
              <w:t xml:space="preserve"> issues</w:t>
            </w:r>
            <w:r w:rsidR="0081386D">
              <w:rPr>
                <w:rFonts w:ascii="Calibri" w:eastAsia="Times New Roman" w:hAnsi="Calibri" w:cs="Times New Roman"/>
                <w:color w:val="000000"/>
                <w:sz w:val="20"/>
                <w:szCs w:val="20"/>
                <w:lang w:eastAsia="en-GB"/>
              </w:rPr>
              <w:t xml:space="preserve"> of </w:t>
            </w:r>
            <w:r w:rsidR="0081386D" w:rsidRPr="00CE7005">
              <w:rPr>
                <w:rFonts w:ascii="Calibri" w:eastAsia="Times New Roman" w:hAnsi="Calibri" w:cs="Times New Roman"/>
                <w:color w:val="000000"/>
                <w:sz w:val="20"/>
                <w:szCs w:val="20"/>
                <w:lang w:eastAsia="en-GB"/>
              </w:rPr>
              <w:t>public perception / consultation feedback / media interest / parliamentary interest / organisational reputation</w:t>
            </w:r>
            <w:r w:rsidR="0081386D">
              <w:rPr>
                <w:rFonts w:ascii="Calibri" w:eastAsia="Times New Roman" w:hAnsi="Calibri" w:cs="Times New Roman"/>
                <w:color w:val="000000"/>
                <w:sz w:val="20"/>
                <w:szCs w:val="20"/>
                <w:lang w:eastAsia="en-GB"/>
              </w:rPr>
              <w:t>, etc</w:t>
            </w:r>
          </w:p>
        </w:tc>
        <w:tc>
          <w:tcPr>
            <w:tcW w:w="1559"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914"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040" w:type="dxa"/>
            <w:tcBorders>
              <w:top w:val="nil"/>
              <w:left w:val="nil"/>
              <w:bottom w:val="single" w:sz="4" w:space="0" w:color="auto"/>
              <w:right w:val="single" w:sz="8"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r>
      <w:tr w:rsidR="00CE7005" w:rsidRPr="00CE7005" w:rsidTr="00CE7005">
        <w:trPr>
          <w:trHeight w:val="255"/>
        </w:trPr>
        <w:tc>
          <w:tcPr>
            <w:tcW w:w="838" w:type="dxa"/>
            <w:tcBorders>
              <w:top w:val="nil"/>
              <w:left w:val="single" w:sz="8" w:space="0" w:color="auto"/>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3.0</w:t>
            </w:r>
          </w:p>
        </w:tc>
        <w:tc>
          <w:tcPr>
            <w:tcW w:w="2565"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Demand risk</w:t>
            </w:r>
          </w:p>
        </w:tc>
        <w:tc>
          <w:tcPr>
            <w:tcW w:w="1559"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693"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914"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040" w:type="dxa"/>
            <w:tcBorders>
              <w:top w:val="nil"/>
              <w:left w:val="nil"/>
              <w:bottom w:val="single" w:sz="4" w:space="0" w:color="auto"/>
              <w:right w:val="single" w:sz="8"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r>
      <w:tr w:rsidR="00CE7005" w:rsidRPr="00CE7005" w:rsidTr="0089178C">
        <w:trPr>
          <w:trHeight w:val="1471"/>
        </w:trPr>
        <w:tc>
          <w:tcPr>
            <w:tcW w:w="838" w:type="dxa"/>
            <w:tcBorders>
              <w:top w:val="nil"/>
              <w:left w:val="single" w:sz="8" w:space="0" w:color="auto"/>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3.1</w:t>
            </w:r>
          </w:p>
        </w:tc>
        <w:tc>
          <w:tcPr>
            <w:tcW w:w="2565"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Demand for the service does not match the levels planned, projected or presumed</w:t>
            </w:r>
          </w:p>
        </w:tc>
        <w:tc>
          <w:tcPr>
            <w:tcW w:w="1559"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693"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Carry out sensitivity testing of assumptions behind service demand projections to understand and manage any underlying risks</w:t>
            </w:r>
          </w:p>
        </w:tc>
        <w:tc>
          <w:tcPr>
            <w:tcW w:w="1559"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914"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040" w:type="dxa"/>
            <w:tcBorders>
              <w:top w:val="nil"/>
              <w:left w:val="nil"/>
              <w:bottom w:val="single" w:sz="4" w:space="0" w:color="auto"/>
              <w:right w:val="single" w:sz="8"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r>
      <w:tr w:rsidR="00CE7005" w:rsidRPr="00CE7005" w:rsidTr="00CE7005">
        <w:trPr>
          <w:trHeight w:val="255"/>
        </w:trPr>
        <w:tc>
          <w:tcPr>
            <w:tcW w:w="838" w:type="dxa"/>
            <w:tcBorders>
              <w:top w:val="nil"/>
              <w:left w:val="single" w:sz="8" w:space="0" w:color="auto"/>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4.0</w:t>
            </w:r>
          </w:p>
        </w:tc>
        <w:tc>
          <w:tcPr>
            <w:tcW w:w="2565"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Occupancy risk</w:t>
            </w:r>
          </w:p>
        </w:tc>
        <w:tc>
          <w:tcPr>
            <w:tcW w:w="1559"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693"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914"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040" w:type="dxa"/>
            <w:tcBorders>
              <w:top w:val="nil"/>
              <w:left w:val="nil"/>
              <w:bottom w:val="single" w:sz="4" w:space="0" w:color="auto"/>
              <w:right w:val="single" w:sz="8"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r>
      <w:tr w:rsidR="00CE7005" w:rsidRPr="00CE7005" w:rsidTr="0089178C">
        <w:trPr>
          <w:trHeight w:val="525"/>
        </w:trPr>
        <w:tc>
          <w:tcPr>
            <w:tcW w:w="838" w:type="dxa"/>
            <w:tcBorders>
              <w:top w:val="nil"/>
              <w:left w:val="single" w:sz="8" w:space="0" w:color="auto"/>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4.1</w:t>
            </w:r>
          </w:p>
        </w:tc>
        <w:tc>
          <w:tcPr>
            <w:tcW w:w="2565" w:type="dxa"/>
            <w:tcBorders>
              <w:top w:val="nil"/>
              <w:left w:val="nil"/>
              <w:bottom w:val="single" w:sz="4" w:space="0" w:color="auto"/>
              <w:right w:val="single" w:sz="4" w:space="0" w:color="auto"/>
            </w:tcBorders>
            <w:shd w:val="clear" w:color="auto" w:fill="auto"/>
            <w:vAlign w:val="center"/>
            <w:hideMark/>
          </w:tcPr>
          <w:p w:rsidR="00CE7005" w:rsidRPr="00CE7005" w:rsidRDefault="0081386D" w:rsidP="0081386D">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Review a</w:t>
            </w:r>
            <w:r w:rsidR="00C44724">
              <w:rPr>
                <w:rFonts w:ascii="Calibri" w:eastAsia="Times New Roman" w:hAnsi="Calibri" w:cs="Times New Roman"/>
                <w:color w:val="000000"/>
                <w:sz w:val="20"/>
                <w:szCs w:val="20"/>
                <w:lang w:eastAsia="en-GB"/>
              </w:rPr>
              <w:t>ny p</w:t>
            </w:r>
            <w:r w:rsidR="00CE7005" w:rsidRPr="00CE7005">
              <w:rPr>
                <w:rFonts w:ascii="Calibri" w:eastAsia="Times New Roman" w:hAnsi="Calibri" w:cs="Times New Roman"/>
                <w:color w:val="000000"/>
                <w:sz w:val="20"/>
                <w:szCs w:val="20"/>
                <w:lang w:eastAsia="en-GB"/>
              </w:rPr>
              <w:t>roject specific risks</w:t>
            </w:r>
          </w:p>
        </w:tc>
        <w:tc>
          <w:tcPr>
            <w:tcW w:w="1559"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693"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914"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040" w:type="dxa"/>
            <w:tcBorders>
              <w:top w:val="nil"/>
              <w:left w:val="nil"/>
              <w:bottom w:val="single" w:sz="4" w:space="0" w:color="auto"/>
              <w:right w:val="single" w:sz="8"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r>
      <w:tr w:rsidR="00CE7005" w:rsidRPr="00CE7005" w:rsidTr="00CE7005">
        <w:trPr>
          <w:trHeight w:val="255"/>
        </w:trPr>
        <w:tc>
          <w:tcPr>
            <w:tcW w:w="838" w:type="dxa"/>
            <w:tcBorders>
              <w:top w:val="nil"/>
              <w:left w:val="single" w:sz="8" w:space="0" w:color="auto"/>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5.0</w:t>
            </w:r>
          </w:p>
        </w:tc>
        <w:tc>
          <w:tcPr>
            <w:tcW w:w="2565"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Operational risk</w:t>
            </w:r>
          </w:p>
        </w:tc>
        <w:tc>
          <w:tcPr>
            <w:tcW w:w="1559"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693"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914"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040" w:type="dxa"/>
            <w:tcBorders>
              <w:top w:val="nil"/>
              <w:left w:val="nil"/>
              <w:bottom w:val="single" w:sz="4" w:space="0" w:color="auto"/>
              <w:right w:val="single" w:sz="8"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r>
      <w:tr w:rsidR="00CE7005" w:rsidRPr="00CE7005" w:rsidTr="0089178C">
        <w:trPr>
          <w:trHeight w:val="1718"/>
        </w:trPr>
        <w:tc>
          <w:tcPr>
            <w:tcW w:w="838" w:type="dxa"/>
            <w:tcBorders>
              <w:top w:val="nil"/>
              <w:left w:val="single" w:sz="8" w:space="0" w:color="auto"/>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5.1</w:t>
            </w:r>
          </w:p>
        </w:tc>
        <w:tc>
          <w:tcPr>
            <w:tcW w:w="2565"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The available accommodation is unable to support the proposed service model</w:t>
            </w:r>
          </w:p>
        </w:tc>
        <w:tc>
          <w:tcPr>
            <w:tcW w:w="1559"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693" w:type="dxa"/>
            <w:tcBorders>
              <w:top w:val="nil"/>
              <w:left w:val="nil"/>
              <w:bottom w:val="single" w:sz="4" w:space="0" w:color="auto"/>
              <w:right w:val="single" w:sz="4" w:space="0" w:color="auto"/>
            </w:tcBorders>
            <w:shd w:val="clear" w:color="auto" w:fill="auto"/>
            <w:vAlign w:val="center"/>
            <w:hideMark/>
          </w:tcPr>
          <w:p w:rsidR="00CE7005" w:rsidRPr="00CE7005" w:rsidRDefault="0081386D" w:rsidP="0081386D">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Review</w:t>
            </w:r>
            <w:r w:rsidR="00CE7005" w:rsidRPr="00CE7005">
              <w:rPr>
                <w:rFonts w:ascii="Calibri" w:eastAsia="Times New Roman" w:hAnsi="Calibri" w:cs="Times New Roman"/>
                <w:color w:val="000000"/>
                <w:sz w:val="20"/>
                <w:szCs w:val="20"/>
                <w:lang w:eastAsia="en-GB"/>
              </w:rPr>
              <w:t xml:space="preserve"> service model</w:t>
            </w:r>
            <w:r>
              <w:rPr>
                <w:rFonts w:ascii="Calibri" w:eastAsia="Times New Roman" w:hAnsi="Calibri" w:cs="Times New Roman"/>
                <w:color w:val="000000"/>
                <w:sz w:val="20"/>
                <w:szCs w:val="20"/>
                <w:lang w:eastAsia="en-GB"/>
              </w:rPr>
              <w:t xml:space="preserve"> &amp; activity levels </w:t>
            </w:r>
            <w:r w:rsidR="00CE7005" w:rsidRPr="00CE7005">
              <w:rPr>
                <w:rFonts w:ascii="Calibri" w:eastAsia="Times New Roman" w:hAnsi="Calibri" w:cs="Times New Roman"/>
                <w:color w:val="000000"/>
                <w:sz w:val="20"/>
                <w:szCs w:val="20"/>
                <w:lang w:eastAsia="en-GB"/>
              </w:rPr>
              <w:t xml:space="preserve">at early design planning stages </w:t>
            </w:r>
            <w:r w:rsidR="00426716">
              <w:rPr>
                <w:rFonts w:ascii="Calibri" w:eastAsia="Times New Roman" w:hAnsi="Calibri" w:cs="Times New Roman"/>
                <w:color w:val="000000"/>
                <w:sz w:val="20"/>
                <w:szCs w:val="20"/>
                <w:lang w:eastAsia="en-GB"/>
              </w:rPr>
              <w:t>and test assumptions throughout design development and implementation.</w:t>
            </w:r>
          </w:p>
        </w:tc>
        <w:tc>
          <w:tcPr>
            <w:tcW w:w="1559"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914"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040" w:type="dxa"/>
            <w:tcBorders>
              <w:top w:val="nil"/>
              <w:left w:val="nil"/>
              <w:bottom w:val="single" w:sz="4" w:space="0" w:color="auto"/>
              <w:right w:val="single" w:sz="8"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r>
      <w:tr w:rsidR="00CE7005" w:rsidRPr="00CE7005" w:rsidTr="00CE7005">
        <w:trPr>
          <w:trHeight w:val="255"/>
        </w:trPr>
        <w:tc>
          <w:tcPr>
            <w:tcW w:w="838" w:type="dxa"/>
            <w:tcBorders>
              <w:top w:val="nil"/>
              <w:left w:val="single" w:sz="8" w:space="0" w:color="auto"/>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6.0</w:t>
            </w:r>
          </w:p>
        </w:tc>
        <w:tc>
          <w:tcPr>
            <w:tcW w:w="2565"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Decant risk</w:t>
            </w:r>
          </w:p>
        </w:tc>
        <w:tc>
          <w:tcPr>
            <w:tcW w:w="1559"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693"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914"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040" w:type="dxa"/>
            <w:tcBorders>
              <w:top w:val="nil"/>
              <w:left w:val="nil"/>
              <w:bottom w:val="single" w:sz="4" w:space="0" w:color="auto"/>
              <w:right w:val="single" w:sz="8"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r>
      <w:tr w:rsidR="00CE7005" w:rsidRPr="00CE7005" w:rsidTr="00CE7005">
        <w:trPr>
          <w:trHeight w:val="1275"/>
        </w:trPr>
        <w:tc>
          <w:tcPr>
            <w:tcW w:w="838" w:type="dxa"/>
            <w:tcBorders>
              <w:top w:val="nil"/>
              <w:left w:val="single" w:sz="8" w:space="0" w:color="auto"/>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6.1</w:t>
            </w:r>
          </w:p>
        </w:tc>
        <w:tc>
          <w:tcPr>
            <w:tcW w:w="2565"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Unable to decant staff / clients from one site to another in a timely manner</w:t>
            </w:r>
          </w:p>
        </w:tc>
        <w:tc>
          <w:tcPr>
            <w:tcW w:w="1559"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693" w:type="dxa"/>
            <w:tcBorders>
              <w:top w:val="nil"/>
              <w:left w:val="nil"/>
              <w:bottom w:val="single" w:sz="4" w:space="0" w:color="auto"/>
              <w:right w:val="single" w:sz="4" w:space="0" w:color="auto"/>
            </w:tcBorders>
            <w:shd w:val="clear" w:color="auto" w:fill="auto"/>
            <w:vAlign w:val="center"/>
            <w:hideMark/>
          </w:tcPr>
          <w:p w:rsidR="00CE7005" w:rsidRPr="00CE7005" w:rsidRDefault="003D1EBB" w:rsidP="00CE7005">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Regularly review decant plan against project plan to ensure that they remain aligned</w:t>
            </w:r>
          </w:p>
        </w:tc>
        <w:tc>
          <w:tcPr>
            <w:tcW w:w="1559"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914"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040" w:type="dxa"/>
            <w:tcBorders>
              <w:top w:val="nil"/>
              <w:left w:val="nil"/>
              <w:bottom w:val="single" w:sz="4" w:space="0" w:color="auto"/>
              <w:right w:val="single" w:sz="8"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r>
      <w:tr w:rsidR="00CE7005" w:rsidRPr="00CE7005" w:rsidTr="00CE7005">
        <w:trPr>
          <w:trHeight w:val="255"/>
        </w:trPr>
        <w:tc>
          <w:tcPr>
            <w:tcW w:w="838" w:type="dxa"/>
            <w:tcBorders>
              <w:top w:val="nil"/>
              <w:left w:val="single" w:sz="8" w:space="0" w:color="auto"/>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7.0</w:t>
            </w:r>
          </w:p>
        </w:tc>
        <w:tc>
          <w:tcPr>
            <w:tcW w:w="2565"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Technology risk</w:t>
            </w:r>
          </w:p>
        </w:tc>
        <w:tc>
          <w:tcPr>
            <w:tcW w:w="1559"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693"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914"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040" w:type="dxa"/>
            <w:tcBorders>
              <w:top w:val="nil"/>
              <w:left w:val="nil"/>
              <w:bottom w:val="single" w:sz="4" w:space="0" w:color="auto"/>
              <w:right w:val="single" w:sz="8"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r>
      <w:tr w:rsidR="00CE7005" w:rsidRPr="00CE7005" w:rsidTr="00CE7005">
        <w:trPr>
          <w:trHeight w:val="255"/>
        </w:trPr>
        <w:tc>
          <w:tcPr>
            <w:tcW w:w="838" w:type="dxa"/>
            <w:tcBorders>
              <w:top w:val="nil"/>
              <w:left w:val="single" w:sz="8" w:space="0" w:color="auto"/>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7.1</w:t>
            </w:r>
          </w:p>
        </w:tc>
        <w:tc>
          <w:tcPr>
            <w:tcW w:w="2565" w:type="dxa"/>
            <w:tcBorders>
              <w:top w:val="nil"/>
              <w:left w:val="nil"/>
              <w:bottom w:val="single" w:sz="4" w:space="0" w:color="auto"/>
              <w:right w:val="single" w:sz="4" w:space="0" w:color="auto"/>
            </w:tcBorders>
            <w:shd w:val="clear" w:color="auto" w:fill="auto"/>
            <w:vAlign w:val="center"/>
            <w:hideMark/>
          </w:tcPr>
          <w:p w:rsidR="00CE7005" w:rsidRPr="00CE7005" w:rsidRDefault="003D1EBB" w:rsidP="003D1EBB">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Review a</w:t>
            </w:r>
            <w:r w:rsidR="00C44724">
              <w:rPr>
                <w:rFonts w:ascii="Calibri" w:eastAsia="Times New Roman" w:hAnsi="Calibri" w:cs="Times New Roman"/>
                <w:color w:val="000000"/>
                <w:sz w:val="20"/>
                <w:szCs w:val="20"/>
                <w:lang w:eastAsia="en-GB"/>
              </w:rPr>
              <w:t>ny p</w:t>
            </w:r>
            <w:r w:rsidR="00CE7005" w:rsidRPr="00CE7005">
              <w:rPr>
                <w:rFonts w:ascii="Calibri" w:eastAsia="Times New Roman" w:hAnsi="Calibri" w:cs="Times New Roman"/>
                <w:color w:val="000000"/>
                <w:sz w:val="20"/>
                <w:szCs w:val="20"/>
                <w:lang w:eastAsia="en-GB"/>
              </w:rPr>
              <w:t xml:space="preserve">roject </w:t>
            </w:r>
            <w:r w:rsidR="00426716" w:rsidRPr="00CE7005">
              <w:rPr>
                <w:rFonts w:ascii="Calibri" w:eastAsia="Times New Roman" w:hAnsi="Calibri" w:cs="Times New Roman"/>
                <w:color w:val="000000"/>
                <w:sz w:val="20"/>
                <w:szCs w:val="20"/>
                <w:lang w:eastAsia="en-GB"/>
              </w:rPr>
              <w:t>specific</w:t>
            </w:r>
            <w:r w:rsidR="00CE7005" w:rsidRPr="00CE7005">
              <w:rPr>
                <w:rFonts w:ascii="Calibri" w:eastAsia="Times New Roman" w:hAnsi="Calibri" w:cs="Times New Roman"/>
                <w:color w:val="000000"/>
                <w:sz w:val="20"/>
                <w:szCs w:val="20"/>
                <w:lang w:eastAsia="en-GB"/>
              </w:rPr>
              <w:t xml:space="preserve"> risks?</w:t>
            </w:r>
          </w:p>
        </w:tc>
        <w:tc>
          <w:tcPr>
            <w:tcW w:w="1559"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693"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914"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040" w:type="dxa"/>
            <w:tcBorders>
              <w:top w:val="nil"/>
              <w:left w:val="nil"/>
              <w:bottom w:val="single" w:sz="4" w:space="0" w:color="auto"/>
              <w:right w:val="single" w:sz="8"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r>
      <w:tr w:rsidR="00CE7005" w:rsidRPr="00CE7005" w:rsidTr="00CE7005">
        <w:trPr>
          <w:trHeight w:val="375"/>
        </w:trPr>
        <w:tc>
          <w:tcPr>
            <w:tcW w:w="4962" w:type="dxa"/>
            <w:gridSpan w:val="3"/>
            <w:tcBorders>
              <w:top w:val="single" w:sz="4" w:space="0" w:color="auto"/>
              <w:left w:val="single" w:sz="8" w:space="0" w:color="auto"/>
              <w:bottom w:val="single" w:sz="4" w:space="0" w:color="auto"/>
              <w:right w:val="single" w:sz="4" w:space="0" w:color="000000"/>
            </w:tcBorders>
            <w:shd w:val="clear" w:color="000000" w:fill="FFFF66"/>
            <w:noWrap/>
            <w:vAlign w:val="center"/>
            <w:hideMark/>
          </w:tcPr>
          <w:p w:rsidR="00CE7005" w:rsidRPr="00CE7005" w:rsidRDefault="00CE7005" w:rsidP="00CE7005">
            <w:pPr>
              <w:spacing w:after="0" w:line="240" w:lineRule="auto"/>
              <w:rPr>
                <w:rFonts w:ascii="Calibri" w:eastAsia="Times New Roman" w:hAnsi="Calibri" w:cs="Times New Roman"/>
                <w:b/>
                <w:bCs/>
                <w:color w:val="000000"/>
                <w:sz w:val="28"/>
                <w:szCs w:val="28"/>
                <w:lang w:eastAsia="en-GB"/>
              </w:rPr>
            </w:pPr>
            <w:r w:rsidRPr="00CE7005">
              <w:rPr>
                <w:rFonts w:ascii="Calibri" w:eastAsia="Times New Roman" w:hAnsi="Calibri" w:cs="Times New Roman"/>
                <w:b/>
                <w:bCs/>
                <w:color w:val="000000"/>
                <w:sz w:val="28"/>
                <w:szCs w:val="28"/>
                <w:lang w:eastAsia="en-GB"/>
              </w:rPr>
              <w:lastRenderedPageBreak/>
              <w:t>PLANNING &amp; DESIGN RISKS</w:t>
            </w:r>
          </w:p>
        </w:tc>
        <w:tc>
          <w:tcPr>
            <w:tcW w:w="1417"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b/>
                <w:bCs/>
                <w:color w:val="000000"/>
                <w:sz w:val="28"/>
                <w:szCs w:val="28"/>
                <w:lang w:eastAsia="en-GB"/>
              </w:rPr>
            </w:pPr>
            <w:r w:rsidRPr="00CE7005">
              <w:rPr>
                <w:rFonts w:ascii="Calibri" w:eastAsia="Times New Roman" w:hAnsi="Calibri" w:cs="Times New Roman"/>
                <w:b/>
                <w:bCs/>
                <w:color w:val="000000"/>
                <w:sz w:val="28"/>
                <w:szCs w:val="28"/>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b/>
                <w:bCs/>
                <w:color w:val="000000"/>
                <w:sz w:val="28"/>
                <w:szCs w:val="28"/>
                <w:lang w:eastAsia="en-GB"/>
              </w:rPr>
            </w:pPr>
            <w:r w:rsidRPr="00CE7005">
              <w:rPr>
                <w:rFonts w:ascii="Calibri" w:eastAsia="Times New Roman" w:hAnsi="Calibri" w:cs="Times New Roman"/>
                <w:b/>
                <w:bCs/>
                <w:color w:val="000000"/>
                <w:sz w:val="28"/>
                <w:szCs w:val="28"/>
                <w:lang w:eastAsia="en-GB"/>
              </w:rPr>
              <w:t> </w:t>
            </w:r>
          </w:p>
        </w:tc>
        <w:tc>
          <w:tcPr>
            <w:tcW w:w="851"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693"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b/>
                <w:bCs/>
                <w:color w:val="000000"/>
                <w:sz w:val="28"/>
                <w:szCs w:val="28"/>
                <w:lang w:eastAsia="en-GB"/>
              </w:rPr>
            </w:pPr>
            <w:r w:rsidRPr="00CE7005">
              <w:rPr>
                <w:rFonts w:ascii="Calibri" w:eastAsia="Times New Roman" w:hAnsi="Calibri" w:cs="Times New Roman"/>
                <w:b/>
                <w:bCs/>
                <w:color w:val="000000"/>
                <w:sz w:val="28"/>
                <w:szCs w:val="28"/>
                <w:lang w:eastAsia="en-GB"/>
              </w:rPr>
              <w:t> </w:t>
            </w:r>
          </w:p>
        </w:tc>
        <w:tc>
          <w:tcPr>
            <w:tcW w:w="1559"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914"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040" w:type="dxa"/>
            <w:tcBorders>
              <w:top w:val="nil"/>
              <w:left w:val="nil"/>
              <w:bottom w:val="single" w:sz="4" w:space="0" w:color="auto"/>
              <w:right w:val="single" w:sz="8"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r>
      <w:tr w:rsidR="00CE7005" w:rsidRPr="00CE7005" w:rsidTr="00CE7005">
        <w:trPr>
          <w:trHeight w:val="255"/>
        </w:trPr>
        <w:tc>
          <w:tcPr>
            <w:tcW w:w="838" w:type="dxa"/>
            <w:tcBorders>
              <w:top w:val="nil"/>
              <w:left w:val="single" w:sz="8" w:space="0" w:color="auto"/>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8.0</w:t>
            </w:r>
          </w:p>
        </w:tc>
        <w:tc>
          <w:tcPr>
            <w:tcW w:w="2565"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Planning risk</w:t>
            </w:r>
          </w:p>
        </w:tc>
        <w:tc>
          <w:tcPr>
            <w:tcW w:w="1559"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693"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914"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040" w:type="dxa"/>
            <w:tcBorders>
              <w:top w:val="nil"/>
              <w:left w:val="nil"/>
              <w:bottom w:val="single" w:sz="4" w:space="0" w:color="auto"/>
              <w:right w:val="single" w:sz="8"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r>
      <w:tr w:rsidR="00CE7005" w:rsidRPr="00CE7005" w:rsidTr="0089178C">
        <w:trPr>
          <w:trHeight w:val="1229"/>
        </w:trPr>
        <w:tc>
          <w:tcPr>
            <w:tcW w:w="838" w:type="dxa"/>
            <w:tcBorders>
              <w:top w:val="nil"/>
              <w:left w:val="single" w:sz="8" w:space="0" w:color="auto"/>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8.1</w:t>
            </w:r>
          </w:p>
        </w:tc>
        <w:tc>
          <w:tcPr>
            <w:tcW w:w="2565"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3D1EBB">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xml:space="preserve">Local community </w:t>
            </w:r>
            <w:r w:rsidR="003D1EBB">
              <w:rPr>
                <w:rFonts w:ascii="Calibri" w:eastAsia="Times New Roman" w:hAnsi="Calibri" w:cs="Times New Roman"/>
                <w:color w:val="000000"/>
                <w:sz w:val="20"/>
                <w:szCs w:val="20"/>
                <w:lang w:eastAsia="en-GB"/>
              </w:rPr>
              <w:t>objects to the project</w:t>
            </w:r>
          </w:p>
        </w:tc>
        <w:tc>
          <w:tcPr>
            <w:tcW w:w="1559"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693" w:type="dxa"/>
            <w:tcBorders>
              <w:top w:val="nil"/>
              <w:left w:val="nil"/>
              <w:bottom w:val="single" w:sz="4" w:space="0" w:color="auto"/>
              <w:right w:val="single" w:sz="4" w:space="0" w:color="auto"/>
            </w:tcBorders>
            <w:shd w:val="clear" w:color="auto" w:fill="auto"/>
            <w:vAlign w:val="center"/>
            <w:hideMark/>
          </w:tcPr>
          <w:p w:rsidR="00CE7005" w:rsidRPr="00CE7005" w:rsidRDefault="00426716" w:rsidP="00426716">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E</w:t>
            </w:r>
            <w:r w:rsidR="00CE7005" w:rsidRPr="00CE7005">
              <w:rPr>
                <w:rFonts w:ascii="Calibri" w:eastAsia="Times New Roman" w:hAnsi="Calibri" w:cs="Times New Roman"/>
                <w:color w:val="000000"/>
                <w:sz w:val="20"/>
                <w:szCs w:val="20"/>
                <w:lang w:eastAsia="en-GB"/>
              </w:rPr>
              <w:t xml:space="preserve">ngage with local communities to gain their support for </w:t>
            </w:r>
            <w:r>
              <w:rPr>
                <w:rFonts w:ascii="Calibri" w:eastAsia="Times New Roman" w:hAnsi="Calibri" w:cs="Times New Roman"/>
                <w:color w:val="000000"/>
                <w:sz w:val="20"/>
                <w:szCs w:val="20"/>
                <w:lang w:eastAsia="en-GB"/>
              </w:rPr>
              <w:t>proposals re</w:t>
            </w:r>
            <w:r w:rsidRPr="00CE7005">
              <w:rPr>
                <w:rFonts w:ascii="Calibri" w:eastAsia="Times New Roman" w:hAnsi="Calibri" w:cs="Times New Roman"/>
                <w:color w:val="000000"/>
                <w:sz w:val="20"/>
                <w:szCs w:val="20"/>
                <w:lang w:eastAsia="en-GB"/>
              </w:rPr>
              <w:t xml:space="preserve"> new site developments</w:t>
            </w:r>
          </w:p>
        </w:tc>
        <w:tc>
          <w:tcPr>
            <w:tcW w:w="1559"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914"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040" w:type="dxa"/>
            <w:tcBorders>
              <w:top w:val="nil"/>
              <w:left w:val="nil"/>
              <w:bottom w:val="single" w:sz="4" w:space="0" w:color="auto"/>
              <w:right w:val="single" w:sz="8"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r>
      <w:tr w:rsidR="00CE7005" w:rsidRPr="00CE7005" w:rsidTr="00CE7005">
        <w:trPr>
          <w:trHeight w:val="255"/>
        </w:trPr>
        <w:tc>
          <w:tcPr>
            <w:tcW w:w="838" w:type="dxa"/>
            <w:tcBorders>
              <w:top w:val="nil"/>
              <w:left w:val="single" w:sz="8" w:space="0" w:color="auto"/>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9.0</w:t>
            </w:r>
          </w:p>
        </w:tc>
        <w:tc>
          <w:tcPr>
            <w:tcW w:w="2565"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Project information risk</w:t>
            </w:r>
          </w:p>
        </w:tc>
        <w:tc>
          <w:tcPr>
            <w:tcW w:w="1559"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693"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914"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040" w:type="dxa"/>
            <w:tcBorders>
              <w:top w:val="nil"/>
              <w:left w:val="nil"/>
              <w:bottom w:val="single" w:sz="4" w:space="0" w:color="auto"/>
              <w:right w:val="single" w:sz="8"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r>
      <w:tr w:rsidR="00CE7005" w:rsidRPr="00CE7005" w:rsidTr="0089178C">
        <w:trPr>
          <w:trHeight w:val="2197"/>
        </w:trPr>
        <w:tc>
          <w:tcPr>
            <w:tcW w:w="838" w:type="dxa"/>
            <w:tcBorders>
              <w:top w:val="nil"/>
              <w:left w:val="single" w:sz="8" w:space="0" w:color="auto"/>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9.1</w:t>
            </w:r>
          </w:p>
        </w:tc>
        <w:tc>
          <w:tcPr>
            <w:tcW w:w="2565"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Information used as part of the strategic &amp; project brief is unreliable</w:t>
            </w:r>
          </w:p>
        </w:tc>
        <w:tc>
          <w:tcPr>
            <w:tcW w:w="1559"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693"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xml:space="preserve">Assumptions which have a material impact on the project should be clearly defined in the Initial Agreement, with a process for confirming those assumptions set out as the </w:t>
            </w:r>
            <w:r w:rsidR="00426716">
              <w:rPr>
                <w:rFonts w:ascii="Calibri" w:eastAsia="Times New Roman" w:hAnsi="Calibri" w:cs="Times New Roman"/>
                <w:color w:val="000000"/>
                <w:sz w:val="20"/>
                <w:szCs w:val="20"/>
                <w:lang w:eastAsia="en-GB"/>
              </w:rPr>
              <w:t>project develops between OBC &amp;</w:t>
            </w:r>
            <w:r w:rsidRPr="00CE7005">
              <w:rPr>
                <w:rFonts w:ascii="Calibri" w:eastAsia="Times New Roman" w:hAnsi="Calibri" w:cs="Times New Roman"/>
                <w:color w:val="000000"/>
                <w:sz w:val="20"/>
                <w:szCs w:val="20"/>
                <w:lang w:eastAsia="en-GB"/>
              </w:rPr>
              <w:t xml:space="preserve"> FBC</w:t>
            </w:r>
          </w:p>
        </w:tc>
        <w:tc>
          <w:tcPr>
            <w:tcW w:w="1559"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914"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040" w:type="dxa"/>
            <w:tcBorders>
              <w:top w:val="nil"/>
              <w:left w:val="nil"/>
              <w:bottom w:val="single" w:sz="4" w:space="0" w:color="auto"/>
              <w:right w:val="single" w:sz="8"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r>
      <w:tr w:rsidR="00CE7005" w:rsidRPr="00CE7005" w:rsidTr="00CE7005">
        <w:trPr>
          <w:trHeight w:val="255"/>
        </w:trPr>
        <w:tc>
          <w:tcPr>
            <w:tcW w:w="838" w:type="dxa"/>
            <w:tcBorders>
              <w:top w:val="nil"/>
              <w:left w:val="single" w:sz="8" w:space="0" w:color="auto"/>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10.0</w:t>
            </w:r>
          </w:p>
        </w:tc>
        <w:tc>
          <w:tcPr>
            <w:tcW w:w="2565"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Design risk</w:t>
            </w:r>
          </w:p>
        </w:tc>
        <w:tc>
          <w:tcPr>
            <w:tcW w:w="1559"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693"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559"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914"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040" w:type="dxa"/>
            <w:tcBorders>
              <w:top w:val="nil"/>
              <w:left w:val="nil"/>
              <w:bottom w:val="single" w:sz="4" w:space="0" w:color="auto"/>
              <w:right w:val="single" w:sz="8"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r>
      <w:tr w:rsidR="00CE7005" w:rsidRPr="00CE7005" w:rsidTr="00426716">
        <w:trPr>
          <w:trHeight w:val="2018"/>
        </w:trPr>
        <w:tc>
          <w:tcPr>
            <w:tcW w:w="838" w:type="dxa"/>
            <w:tcBorders>
              <w:top w:val="nil"/>
              <w:left w:val="single" w:sz="8" w:space="0" w:color="auto"/>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10.1</w:t>
            </w:r>
          </w:p>
        </w:tc>
        <w:tc>
          <w:tcPr>
            <w:tcW w:w="2565"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The design does not meet the Design Assessment expectations</w:t>
            </w:r>
          </w:p>
        </w:tc>
        <w:tc>
          <w:tcPr>
            <w:tcW w:w="1559"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 </w:t>
            </w:r>
          </w:p>
        </w:tc>
        <w:tc>
          <w:tcPr>
            <w:tcW w:w="1417"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276"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851"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693" w:type="dxa"/>
            <w:tcBorders>
              <w:top w:val="nil"/>
              <w:left w:val="nil"/>
              <w:bottom w:val="single" w:sz="4" w:space="0" w:color="auto"/>
              <w:right w:val="single" w:sz="4" w:space="0" w:color="auto"/>
            </w:tcBorders>
            <w:shd w:val="clear" w:color="auto" w:fill="auto"/>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The design team need to engage wit</w:t>
            </w:r>
            <w:r w:rsidR="00426716">
              <w:rPr>
                <w:rFonts w:ascii="Calibri" w:eastAsia="Times New Roman" w:hAnsi="Calibri" w:cs="Times New Roman"/>
                <w:color w:val="000000"/>
                <w:sz w:val="20"/>
                <w:szCs w:val="20"/>
                <w:lang w:eastAsia="en-GB"/>
              </w:rPr>
              <w:t>h</w:t>
            </w:r>
            <w:r w:rsidRPr="00CE7005">
              <w:rPr>
                <w:rFonts w:ascii="Calibri" w:eastAsia="Times New Roman" w:hAnsi="Calibri" w:cs="Times New Roman"/>
                <w:color w:val="000000"/>
                <w:sz w:val="20"/>
                <w:szCs w:val="20"/>
                <w:lang w:eastAsia="en-GB"/>
              </w:rPr>
              <w:t xml:space="preserve"> the Design Assessment team from early design planning stages onwards to avoid confusion over expectations</w:t>
            </w:r>
          </w:p>
        </w:tc>
        <w:tc>
          <w:tcPr>
            <w:tcW w:w="1559"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914" w:type="dxa"/>
            <w:tcBorders>
              <w:top w:val="nil"/>
              <w:left w:val="nil"/>
              <w:bottom w:val="single" w:sz="4" w:space="0" w:color="auto"/>
              <w:right w:val="single" w:sz="4"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040" w:type="dxa"/>
            <w:tcBorders>
              <w:top w:val="nil"/>
              <w:left w:val="nil"/>
              <w:bottom w:val="single" w:sz="4" w:space="0" w:color="auto"/>
              <w:right w:val="single" w:sz="8" w:space="0" w:color="auto"/>
            </w:tcBorders>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r>
    </w:tbl>
    <w:p w:rsidR="003D1EBB" w:rsidRDefault="003D1EBB"/>
    <w:p w:rsidR="003D1EBB" w:rsidRDefault="003D1EBB"/>
    <w:p w:rsidR="003D1EBB" w:rsidRDefault="003D1EBB"/>
    <w:p w:rsidR="003D1EBB" w:rsidRDefault="003D1EBB"/>
    <w:tbl>
      <w:tblPr>
        <w:tblW w:w="14712" w:type="dxa"/>
        <w:tblInd w:w="-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38"/>
        <w:gridCol w:w="2565"/>
        <w:gridCol w:w="1559"/>
        <w:gridCol w:w="1417"/>
        <w:gridCol w:w="1276"/>
        <w:gridCol w:w="851"/>
        <w:gridCol w:w="2693"/>
        <w:gridCol w:w="1559"/>
        <w:gridCol w:w="914"/>
        <w:gridCol w:w="1040"/>
      </w:tblGrid>
      <w:tr w:rsidR="00CE7005" w:rsidRPr="00CE7005" w:rsidTr="003D1EBB">
        <w:trPr>
          <w:trHeight w:val="375"/>
        </w:trPr>
        <w:tc>
          <w:tcPr>
            <w:tcW w:w="4962" w:type="dxa"/>
            <w:gridSpan w:val="3"/>
            <w:shd w:val="clear" w:color="000000" w:fill="FFFF66"/>
            <w:noWrap/>
            <w:vAlign w:val="center"/>
            <w:hideMark/>
          </w:tcPr>
          <w:p w:rsidR="00CE7005" w:rsidRPr="00CE7005" w:rsidRDefault="00CE7005" w:rsidP="00CE7005">
            <w:pPr>
              <w:spacing w:after="0" w:line="240" w:lineRule="auto"/>
              <w:rPr>
                <w:rFonts w:ascii="Calibri" w:eastAsia="Times New Roman" w:hAnsi="Calibri" w:cs="Times New Roman"/>
                <w:b/>
                <w:bCs/>
                <w:color w:val="000000"/>
                <w:sz w:val="28"/>
                <w:szCs w:val="28"/>
                <w:lang w:eastAsia="en-GB"/>
              </w:rPr>
            </w:pPr>
            <w:r w:rsidRPr="00CE7005">
              <w:rPr>
                <w:rFonts w:ascii="Calibri" w:eastAsia="Times New Roman" w:hAnsi="Calibri" w:cs="Times New Roman"/>
                <w:b/>
                <w:bCs/>
                <w:color w:val="000000"/>
                <w:sz w:val="28"/>
                <w:szCs w:val="28"/>
                <w:lang w:eastAsia="en-GB"/>
              </w:rPr>
              <w:lastRenderedPageBreak/>
              <w:t>CONSTRUCTION / PROPERTY RELATED RISKS</w:t>
            </w:r>
          </w:p>
        </w:tc>
        <w:tc>
          <w:tcPr>
            <w:tcW w:w="1417" w:type="dxa"/>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b/>
                <w:bCs/>
                <w:color w:val="000000"/>
                <w:sz w:val="28"/>
                <w:szCs w:val="28"/>
                <w:lang w:eastAsia="en-GB"/>
              </w:rPr>
            </w:pPr>
            <w:r w:rsidRPr="00CE7005">
              <w:rPr>
                <w:rFonts w:ascii="Calibri" w:eastAsia="Times New Roman" w:hAnsi="Calibri" w:cs="Times New Roman"/>
                <w:b/>
                <w:bCs/>
                <w:color w:val="000000"/>
                <w:sz w:val="28"/>
                <w:szCs w:val="28"/>
                <w:lang w:eastAsia="en-GB"/>
              </w:rPr>
              <w:t> </w:t>
            </w:r>
          </w:p>
        </w:tc>
        <w:tc>
          <w:tcPr>
            <w:tcW w:w="1276" w:type="dxa"/>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b/>
                <w:bCs/>
                <w:color w:val="000000"/>
                <w:sz w:val="28"/>
                <w:szCs w:val="28"/>
                <w:lang w:eastAsia="en-GB"/>
              </w:rPr>
            </w:pPr>
            <w:r w:rsidRPr="00CE7005">
              <w:rPr>
                <w:rFonts w:ascii="Calibri" w:eastAsia="Times New Roman" w:hAnsi="Calibri" w:cs="Times New Roman"/>
                <w:b/>
                <w:bCs/>
                <w:color w:val="000000"/>
                <w:sz w:val="28"/>
                <w:szCs w:val="28"/>
                <w:lang w:eastAsia="en-GB"/>
              </w:rPr>
              <w:t> </w:t>
            </w:r>
          </w:p>
        </w:tc>
        <w:tc>
          <w:tcPr>
            <w:tcW w:w="851"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693" w:type="dxa"/>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b/>
                <w:bCs/>
                <w:color w:val="000000"/>
                <w:sz w:val="28"/>
                <w:szCs w:val="28"/>
                <w:lang w:eastAsia="en-GB"/>
              </w:rPr>
            </w:pPr>
            <w:r w:rsidRPr="00CE7005">
              <w:rPr>
                <w:rFonts w:ascii="Calibri" w:eastAsia="Times New Roman" w:hAnsi="Calibri" w:cs="Times New Roman"/>
                <w:b/>
                <w:bCs/>
                <w:color w:val="000000"/>
                <w:sz w:val="28"/>
                <w:szCs w:val="28"/>
                <w:lang w:eastAsia="en-GB"/>
              </w:rPr>
              <w:t> </w:t>
            </w:r>
          </w:p>
        </w:tc>
        <w:tc>
          <w:tcPr>
            <w:tcW w:w="1559" w:type="dxa"/>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914"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040"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r>
      <w:tr w:rsidR="00CE7005" w:rsidRPr="00CE7005" w:rsidTr="003D1EBB">
        <w:trPr>
          <w:trHeight w:val="255"/>
        </w:trPr>
        <w:tc>
          <w:tcPr>
            <w:tcW w:w="838"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11.0</w:t>
            </w:r>
          </w:p>
        </w:tc>
        <w:tc>
          <w:tcPr>
            <w:tcW w:w="2565" w:type="dxa"/>
            <w:shd w:val="clear" w:color="auto" w:fill="auto"/>
            <w:vAlign w:val="center"/>
            <w:hideMark/>
          </w:tcPr>
          <w:p w:rsidR="00CE7005" w:rsidRPr="00CE7005" w:rsidRDefault="00CE7005" w:rsidP="00CE7005">
            <w:pPr>
              <w:spacing w:after="0" w:line="240" w:lineRule="auto"/>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Procurement risk</w:t>
            </w:r>
          </w:p>
        </w:tc>
        <w:tc>
          <w:tcPr>
            <w:tcW w:w="1559" w:type="dxa"/>
            <w:shd w:val="clear" w:color="auto" w:fill="auto"/>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 </w:t>
            </w:r>
          </w:p>
        </w:tc>
        <w:tc>
          <w:tcPr>
            <w:tcW w:w="1417"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276"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851"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693" w:type="dxa"/>
            <w:shd w:val="clear" w:color="auto" w:fill="auto"/>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559" w:type="dxa"/>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914"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040"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r>
      <w:tr w:rsidR="00CE7005" w:rsidRPr="00CE7005" w:rsidTr="003D1EBB">
        <w:trPr>
          <w:trHeight w:val="255"/>
        </w:trPr>
        <w:tc>
          <w:tcPr>
            <w:tcW w:w="838"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r w:rsidR="0089178C">
              <w:rPr>
                <w:rFonts w:ascii="Calibri" w:eastAsia="Times New Roman" w:hAnsi="Calibri" w:cs="Times New Roman"/>
                <w:color w:val="000000"/>
                <w:sz w:val="20"/>
                <w:szCs w:val="20"/>
                <w:lang w:eastAsia="en-GB"/>
              </w:rPr>
              <w:t>11.1</w:t>
            </w:r>
          </w:p>
        </w:tc>
        <w:tc>
          <w:tcPr>
            <w:tcW w:w="2565" w:type="dxa"/>
            <w:shd w:val="clear" w:color="auto" w:fill="auto"/>
            <w:vAlign w:val="center"/>
            <w:hideMark/>
          </w:tcPr>
          <w:p w:rsidR="00CE7005" w:rsidRPr="00CE7005" w:rsidRDefault="003D1EBB" w:rsidP="003D1EBB">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Review a</w:t>
            </w:r>
            <w:r w:rsidR="00C44724">
              <w:rPr>
                <w:rFonts w:ascii="Calibri" w:eastAsia="Times New Roman" w:hAnsi="Calibri" w:cs="Times New Roman"/>
                <w:color w:val="000000"/>
                <w:sz w:val="20"/>
                <w:szCs w:val="20"/>
                <w:lang w:eastAsia="en-GB"/>
              </w:rPr>
              <w:t>ny p</w:t>
            </w:r>
            <w:r w:rsidR="00CE7005" w:rsidRPr="00CE7005">
              <w:rPr>
                <w:rFonts w:ascii="Calibri" w:eastAsia="Times New Roman" w:hAnsi="Calibri" w:cs="Times New Roman"/>
                <w:color w:val="000000"/>
                <w:sz w:val="20"/>
                <w:szCs w:val="20"/>
                <w:lang w:eastAsia="en-GB"/>
              </w:rPr>
              <w:t xml:space="preserve">roject </w:t>
            </w:r>
            <w:r w:rsidR="00426716" w:rsidRPr="00CE7005">
              <w:rPr>
                <w:rFonts w:ascii="Calibri" w:eastAsia="Times New Roman" w:hAnsi="Calibri" w:cs="Times New Roman"/>
                <w:color w:val="000000"/>
                <w:sz w:val="20"/>
                <w:szCs w:val="20"/>
                <w:lang w:eastAsia="en-GB"/>
              </w:rPr>
              <w:t>specific</w:t>
            </w:r>
            <w:r w:rsidR="00CE7005" w:rsidRPr="00CE7005">
              <w:rPr>
                <w:rFonts w:ascii="Calibri" w:eastAsia="Times New Roman" w:hAnsi="Calibri" w:cs="Times New Roman"/>
                <w:color w:val="000000"/>
                <w:sz w:val="20"/>
                <w:szCs w:val="20"/>
                <w:lang w:eastAsia="en-GB"/>
              </w:rPr>
              <w:t xml:space="preserve"> risks</w:t>
            </w:r>
            <w:r>
              <w:rPr>
                <w:rFonts w:ascii="Calibri" w:eastAsia="Times New Roman" w:hAnsi="Calibri" w:cs="Times New Roman"/>
                <w:color w:val="000000"/>
                <w:sz w:val="20"/>
                <w:szCs w:val="20"/>
                <w:lang w:eastAsia="en-GB"/>
              </w:rPr>
              <w:t xml:space="preserve"> at this stage</w:t>
            </w:r>
          </w:p>
        </w:tc>
        <w:tc>
          <w:tcPr>
            <w:tcW w:w="1559" w:type="dxa"/>
            <w:shd w:val="clear" w:color="auto" w:fill="auto"/>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 </w:t>
            </w:r>
          </w:p>
        </w:tc>
        <w:tc>
          <w:tcPr>
            <w:tcW w:w="1417"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276"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851"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693" w:type="dxa"/>
            <w:shd w:val="clear" w:color="auto" w:fill="auto"/>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559" w:type="dxa"/>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914"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040"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r>
      <w:tr w:rsidR="00CE7005" w:rsidRPr="00CE7005" w:rsidTr="003D1EBB">
        <w:trPr>
          <w:trHeight w:val="255"/>
        </w:trPr>
        <w:tc>
          <w:tcPr>
            <w:tcW w:w="838"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12.0</w:t>
            </w:r>
          </w:p>
        </w:tc>
        <w:tc>
          <w:tcPr>
            <w:tcW w:w="2565" w:type="dxa"/>
            <w:shd w:val="clear" w:color="auto" w:fill="auto"/>
            <w:vAlign w:val="center"/>
            <w:hideMark/>
          </w:tcPr>
          <w:p w:rsidR="00CE7005" w:rsidRPr="00CE7005" w:rsidRDefault="00CE7005" w:rsidP="00CE7005">
            <w:pPr>
              <w:spacing w:after="0" w:line="240" w:lineRule="auto"/>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Construction risk</w:t>
            </w:r>
          </w:p>
        </w:tc>
        <w:tc>
          <w:tcPr>
            <w:tcW w:w="1559" w:type="dxa"/>
            <w:shd w:val="clear" w:color="auto" w:fill="auto"/>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 </w:t>
            </w:r>
          </w:p>
        </w:tc>
        <w:tc>
          <w:tcPr>
            <w:tcW w:w="1417"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276"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851"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693" w:type="dxa"/>
            <w:shd w:val="clear" w:color="auto" w:fill="auto"/>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559" w:type="dxa"/>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914"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040"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r>
      <w:tr w:rsidR="00CE7005" w:rsidRPr="00CE7005" w:rsidTr="003D1EBB">
        <w:trPr>
          <w:trHeight w:val="1020"/>
        </w:trPr>
        <w:tc>
          <w:tcPr>
            <w:tcW w:w="838"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r w:rsidR="0089178C">
              <w:rPr>
                <w:rFonts w:ascii="Calibri" w:eastAsia="Times New Roman" w:hAnsi="Calibri" w:cs="Times New Roman"/>
                <w:color w:val="000000"/>
                <w:sz w:val="20"/>
                <w:szCs w:val="20"/>
                <w:lang w:eastAsia="en-GB"/>
              </w:rPr>
              <w:t>12.1</w:t>
            </w:r>
          </w:p>
        </w:tc>
        <w:tc>
          <w:tcPr>
            <w:tcW w:w="2565" w:type="dxa"/>
            <w:shd w:val="clear" w:color="auto" w:fill="auto"/>
            <w:vAlign w:val="center"/>
            <w:hideMark/>
          </w:tcPr>
          <w:p w:rsidR="00CE7005" w:rsidRPr="00CE7005" w:rsidRDefault="00CE7005" w:rsidP="003D1EBB">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xml:space="preserve">Critical programme dates are </w:t>
            </w:r>
            <w:r w:rsidR="003D1EBB">
              <w:rPr>
                <w:rFonts w:ascii="Calibri" w:eastAsia="Times New Roman" w:hAnsi="Calibri" w:cs="Times New Roman"/>
                <w:color w:val="000000"/>
                <w:sz w:val="20"/>
                <w:szCs w:val="20"/>
                <w:lang w:eastAsia="en-GB"/>
              </w:rPr>
              <w:t>unrealistic</w:t>
            </w:r>
          </w:p>
        </w:tc>
        <w:tc>
          <w:tcPr>
            <w:tcW w:w="1559" w:type="dxa"/>
            <w:shd w:val="clear" w:color="auto" w:fill="auto"/>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 </w:t>
            </w:r>
          </w:p>
        </w:tc>
        <w:tc>
          <w:tcPr>
            <w:tcW w:w="1417"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276"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851"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693" w:type="dxa"/>
            <w:shd w:val="clear" w:color="auto" w:fill="auto"/>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A realistic project programme should be developed from IA stage onwards which is regularly monitored and reviewed</w:t>
            </w:r>
          </w:p>
        </w:tc>
        <w:tc>
          <w:tcPr>
            <w:tcW w:w="1559" w:type="dxa"/>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914"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040"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r>
      <w:tr w:rsidR="00CE7005" w:rsidRPr="00CE7005" w:rsidTr="003D1EBB">
        <w:trPr>
          <w:trHeight w:val="255"/>
        </w:trPr>
        <w:tc>
          <w:tcPr>
            <w:tcW w:w="838"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13.0</w:t>
            </w:r>
          </w:p>
        </w:tc>
        <w:tc>
          <w:tcPr>
            <w:tcW w:w="2565" w:type="dxa"/>
            <w:shd w:val="clear" w:color="auto" w:fill="auto"/>
            <w:vAlign w:val="center"/>
            <w:hideMark/>
          </w:tcPr>
          <w:p w:rsidR="00CE7005" w:rsidRPr="00CE7005" w:rsidRDefault="00CE7005" w:rsidP="00CE7005">
            <w:pPr>
              <w:spacing w:after="0" w:line="240" w:lineRule="auto"/>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Maintenance risk</w:t>
            </w:r>
          </w:p>
        </w:tc>
        <w:tc>
          <w:tcPr>
            <w:tcW w:w="1559" w:type="dxa"/>
            <w:shd w:val="clear" w:color="auto" w:fill="auto"/>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 </w:t>
            </w:r>
          </w:p>
        </w:tc>
        <w:tc>
          <w:tcPr>
            <w:tcW w:w="1417"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276"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851"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693" w:type="dxa"/>
            <w:shd w:val="clear" w:color="auto" w:fill="auto"/>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559" w:type="dxa"/>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914"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040"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r>
      <w:tr w:rsidR="00CE7005" w:rsidRPr="00CE7005" w:rsidTr="003D1EBB">
        <w:trPr>
          <w:trHeight w:val="255"/>
        </w:trPr>
        <w:tc>
          <w:tcPr>
            <w:tcW w:w="838"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r w:rsidR="0089178C">
              <w:rPr>
                <w:rFonts w:ascii="Calibri" w:eastAsia="Times New Roman" w:hAnsi="Calibri" w:cs="Times New Roman"/>
                <w:color w:val="000000"/>
                <w:sz w:val="20"/>
                <w:szCs w:val="20"/>
                <w:lang w:eastAsia="en-GB"/>
              </w:rPr>
              <w:t>13.1</w:t>
            </w:r>
          </w:p>
        </w:tc>
        <w:tc>
          <w:tcPr>
            <w:tcW w:w="2565" w:type="dxa"/>
            <w:shd w:val="clear" w:color="auto" w:fill="auto"/>
            <w:vAlign w:val="center"/>
            <w:hideMark/>
          </w:tcPr>
          <w:p w:rsidR="00CE7005" w:rsidRPr="00CE7005" w:rsidRDefault="003D1EBB" w:rsidP="003D1EBB">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Review a</w:t>
            </w:r>
            <w:r w:rsidR="00C44724">
              <w:rPr>
                <w:rFonts w:ascii="Calibri" w:eastAsia="Times New Roman" w:hAnsi="Calibri" w:cs="Times New Roman"/>
                <w:color w:val="000000"/>
                <w:sz w:val="20"/>
                <w:szCs w:val="20"/>
                <w:lang w:eastAsia="en-GB"/>
              </w:rPr>
              <w:t>ny p</w:t>
            </w:r>
            <w:r w:rsidR="00CE7005" w:rsidRPr="00CE7005">
              <w:rPr>
                <w:rFonts w:ascii="Calibri" w:eastAsia="Times New Roman" w:hAnsi="Calibri" w:cs="Times New Roman"/>
                <w:color w:val="000000"/>
                <w:sz w:val="20"/>
                <w:szCs w:val="20"/>
                <w:lang w:eastAsia="en-GB"/>
              </w:rPr>
              <w:t>roject spe</w:t>
            </w:r>
            <w:r w:rsidR="00C44724">
              <w:rPr>
                <w:rFonts w:ascii="Calibri" w:eastAsia="Times New Roman" w:hAnsi="Calibri" w:cs="Times New Roman"/>
                <w:color w:val="000000"/>
                <w:sz w:val="20"/>
                <w:szCs w:val="20"/>
                <w:lang w:eastAsia="en-GB"/>
              </w:rPr>
              <w:t>c</w:t>
            </w:r>
            <w:r w:rsidR="00CE7005" w:rsidRPr="00CE7005">
              <w:rPr>
                <w:rFonts w:ascii="Calibri" w:eastAsia="Times New Roman" w:hAnsi="Calibri" w:cs="Times New Roman"/>
                <w:color w:val="000000"/>
                <w:sz w:val="20"/>
                <w:szCs w:val="20"/>
                <w:lang w:eastAsia="en-GB"/>
              </w:rPr>
              <w:t>ific risks</w:t>
            </w:r>
            <w:r>
              <w:rPr>
                <w:rFonts w:ascii="Calibri" w:eastAsia="Times New Roman" w:hAnsi="Calibri" w:cs="Times New Roman"/>
                <w:color w:val="000000"/>
                <w:sz w:val="20"/>
                <w:szCs w:val="20"/>
                <w:lang w:eastAsia="en-GB"/>
              </w:rPr>
              <w:t xml:space="preserve"> at this stage</w:t>
            </w:r>
          </w:p>
        </w:tc>
        <w:tc>
          <w:tcPr>
            <w:tcW w:w="1559" w:type="dxa"/>
            <w:shd w:val="clear" w:color="auto" w:fill="auto"/>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 </w:t>
            </w:r>
          </w:p>
        </w:tc>
        <w:tc>
          <w:tcPr>
            <w:tcW w:w="1417"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276"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851"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693" w:type="dxa"/>
            <w:shd w:val="clear" w:color="auto" w:fill="auto"/>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559" w:type="dxa"/>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914"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040"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r>
      <w:tr w:rsidR="00CE7005" w:rsidRPr="00CE7005" w:rsidTr="003D1EBB">
        <w:trPr>
          <w:trHeight w:val="375"/>
        </w:trPr>
        <w:tc>
          <w:tcPr>
            <w:tcW w:w="4962" w:type="dxa"/>
            <w:gridSpan w:val="3"/>
            <w:shd w:val="clear" w:color="000000" w:fill="FFFF66"/>
            <w:noWrap/>
            <w:vAlign w:val="center"/>
            <w:hideMark/>
          </w:tcPr>
          <w:p w:rsidR="00CE7005" w:rsidRPr="00CE7005" w:rsidRDefault="00CE7005" w:rsidP="00CE7005">
            <w:pPr>
              <w:spacing w:after="0" w:line="240" w:lineRule="auto"/>
              <w:rPr>
                <w:rFonts w:ascii="Calibri" w:eastAsia="Times New Roman" w:hAnsi="Calibri" w:cs="Times New Roman"/>
                <w:b/>
                <w:bCs/>
                <w:color w:val="000000"/>
                <w:sz w:val="28"/>
                <w:szCs w:val="28"/>
                <w:lang w:eastAsia="en-GB"/>
              </w:rPr>
            </w:pPr>
            <w:r w:rsidRPr="00CE7005">
              <w:rPr>
                <w:rFonts w:ascii="Calibri" w:eastAsia="Times New Roman" w:hAnsi="Calibri" w:cs="Times New Roman"/>
                <w:b/>
                <w:bCs/>
                <w:color w:val="000000"/>
                <w:sz w:val="28"/>
                <w:szCs w:val="28"/>
                <w:lang w:eastAsia="en-GB"/>
              </w:rPr>
              <w:t>FINANCE RISKS</w:t>
            </w:r>
          </w:p>
        </w:tc>
        <w:tc>
          <w:tcPr>
            <w:tcW w:w="1417" w:type="dxa"/>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b/>
                <w:bCs/>
                <w:color w:val="000000"/>
                <w:sz w:val="28"/>
                <w:szCs w:val="28"/>
                <w:lang w:eastAsia="en-GB"/>
              </w:rPr>
            </w:pPr>
            <w:r w:rsidRPr="00CE7005">
              <w:rPr>
                <w:rFonts w:ascii="Calibri" w:eastAsia="Times New Roman" w:hAnsi="Calibri" w:cs="Times New Roman"/>
                <w:b/>
                <w:bCs/>
                <w:color w:val="000000"/>
                <w:sz w:val="28"/>
                <w:szCs w:val="28"/>
                <w:lang w:eastAsia="en-GB"/>
              </w:rPr>
              <w:t> </w:t>
            </w:r>
          </w:p>
        </w:tc>
        <w:tc>
          <w:tcPr>
            <w:tcW w:w="1276" w:type="dxa"/>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b/>
                <w:bCs/>
                <w:color w:val="000000"/>
                <w:sz w:val="28"/>
                <w:szCs w:val="28"/>
                <w:lang w:eastAsia="en-GB"/>
              </w:rPr>
            </w:pPr>
            <w:r w:rsidRPr="00CE7005">
              <w:rPr>
                <w:rFonts w:ascii="Calibri" w:eastAsia="Times New Roman" w:hAnsi="Calibri" w:cs="Times New Roman"/>
                <w:b/>
                <w:bCs/>
                <w:color w:val="000000"/>
                <w:sz w:val="28"/>
                <w:szCs w:val="28"/>
                <w:lang w:eastAsia="en-GB"/>
              </w:rPr>
              <w:t> </w:t>
            </w:r>
          </w:p>
        </w:tc>
        <w:tc>
          <w:tcPr>
            <w:tcW w:w="851"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693" w:type="dxa"/>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b/>
                <w:bCs/>
                <w:color w:val="000000"/>
                <w:sz w:val="28"/>
                <w:szCs w:val="28"/>
                <w:lang w:eastAsia="en-GB"/>
              </w:rPr>
            </w:pPr>
            <w:r w:rsidRPr="00CE7005">
              <w:rPr>
                <w:rFonts w:ascii="Calibri" w:eastAsia="Times New Roman" w:hAnsi="Calibri" w:cs="Times New Roman"/>
                <w:b/>
                <w:bCs/>
                <w:color w:val="000000"/>
                <w:sz w:val="28"/>
                <w:szCs w:val="28"/>
                <w:lang w:eastAsia="en-GB"/>
              </w:rPr>
              <w:t> </w:t>
            </w:r>
          </w:p>
        </w:tc>
        <w:tc>
          <w:tcPr>
            <w:tcW w:w="1559" w:type="dxa"/>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914"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040"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r>
      <w:tr w:rsidR="00CE7005" w:rsidRPr="00CE7005" w:rsidTr="003D1EBB">
        <w:trPr>
          <w:trHeight w:val="255"/>
        </w:trPr>
        <w:tc>
          <w:tcPr>
            <w:tcW w:w="838" w:type="dxa"/>
            <w:shd w:val="clear" w:color="auto" w:fill="auto"/>
            <w:noWrap/>
            <w:vAlign w:val="center"/>
            <w:hideMark/>
          </w:tcPr>
          <w:p w:rsidR="00CE7005" w:rsidRPr="00CE7005" w:rsidRDefault="0089178C" w:rsidP="00CE7005">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14</w:t>
            </w:r>
            <w:r w:rsidR="00CE7005" w:rsidRPr="00CE7005">
              <w:rPr>
                <w:rFonts w:ascii="Calibri" w:eastAsia="Times New Roman" w:hAnsi="Calibri" w:cs="Times New Roman"/>
                <w:b/>
                <w:bCs/>
                <w:color w:val="000000"/>
                <w:sz w:val="20"/>
                <w:szCs w:val="20"/>
                <w:lang w:eastAsia="en-GB"/>
              </w:rPr>
              <w:t>.0</w:t>
            </w:r>
          </w:p>
        </w:tc>
        <w:tc>
          <w:tcPr>
            <w:tcW w:w="2565" w:type="dxa"/>
            <w:shd w:val="clear" w:color="auto" w:fill="auto"/>
            <w:vAlign w:val="center"/>
            <w:hideMark/>
          </w:tcPr>
          <w:p w:rsidR="00CE7005" w:rsidRPr="00CE7005" w:rsidRDefault="00CE7005" w:rsidP="00CE7005">
            <w:pPr>
              <w:spacing w:after="0" w:line="240" w:lineRule="auto"/>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Funding risk</w:t>
            </w:r>
          </w:p>
        </w:tc>
        <w:tc>
          <w:tcPr>
            <w:tcW w:w="1559" w:type="dxa"/>
            <w:shd w:val="clear" w:color="auto" w:fill="auto"/>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 </w:t>
            </w:r>
          </w:p>
        </w:tc>
        <w:tc>
          <w:tcPr>
            <w:tcW w:w="1417"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276"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851"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693" w:type="dxa"/>
            <w:shd w:val="clear" w:color="auto" w:fill="auto"/>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559" w:type="dxa"/>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914"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040"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r>
      <w:tr w:rsidR="00CE7005" w:rsidRPr="00CE7005" w:rsidTr="003D1EBB">
        <w:trPr>
          <w:trHeight w:val="1020"/>
        </w:trPr>
        <w:tc>
          <w:tcPr>
            <w:tcW w:w="838" w:type="dxa"/>
            <w:shd w:val="clear" w:color="auto" w:fill="auto"/>
            <w:noWrap/>
            <w:vAlign w:val="center"/>
            <w:hideMark/>
          </w:tcPr>
          <w:p w:rsidR="00CE7005" w:rsidRPr="0089178C" w:rsidRDefault="0089178C" w:rsidP="00CE7005">
            <w:pPr>
              <w:spacing w:after="0" w:line="240" w:lineRule="auto"/>
              <w:jc w:val="center"/>
              <w:rPr>
                <w:rFonts w:ascii="Calibri" w:eastAsia="Times New Roman" w:hAnsi="Calibri" w:cs="Times New Roman"/>
                <w:bCs/>
                <w:color w:val="000000"/>
                <w:sz w:val="20"/>
                <w:szCs w:val="20"/>
                <w:lang w:eastAsia="en-GB"/>
              </w:rPr>
            </w:pPr>
            <w:r>
              <w:rPr>
                <w:rFonts w:ascii="Calibri" w:eastAsia="Times New Roman" w:hAnsi="Calibri" w:cs="Times New Roman"/>
                <w:bCs/>
                <w:color w:val="000000"/>
                <w:sz w:val="20"/>
                <w:szCs w:val="20"/>
                <w:lang w:eastAsia="en-GB"/>
              </w:rPr>
              <w:t>14</w:t>
            </w:r>
            <w:r w:rsidRPr="0089178C">
              <w:rPr>
                <w:rFonts w:ascii="Calibri" w:eastAsia="Times New Roman" w:hAnsi="Calibri" w:cs="Times New Roman"/>
                <w:bCs/>
                <w:color w:val="000000"/>
                <w:sz w:val="20"/>
                <w:szCs w:val="20"/>
                <w:lang w:eastAsia="en-GB"/>
              </w:rPr>
              <w:t>.1</w:t>
            </w:r>
            <w:r w:rsidR="00CE7005" w:rsidRPr="0089178C">
              <w:rPr>
                <w:rFonts w:ascii="Calibri" w:eastAsia="Times New Roman" w:hAnsi="Calibri" w:cs="Times New Roman"/>
                <w:bCs/>
                <w:color w:val="000000"/>
                <w:sz w:val="20"/>
                <w:szCs w:val="20"/>
                <w:lang w:eastAsia="en-GB"/>
              </w:rPr>
              <w:t> </w:t>
            </w:r>
          </w:p>
        </w:tc>
        <w:tc>
          <w:tcPr>
            <w:tcW w:w="2565" w:type="dxa"/>
            <w:shd w:val="clear" w:color="auto" w:fill="auto"/>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The project estimate is poorly prepared and inaccurate</w:t>
            </w:r>
          </w:p>
        </w:tc>
        <w:tc>
          <w:tcPr>
            <w:tcW w:w="1559" w:type="dxa"/>
            <w:shd w:val="clear" w:color="auto" w:fill="auto"/>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417"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276"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851"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693" w:type="dxa"/>
            <w:shd w:val="clear" w:color="auto" w:fill="auto"/>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The level of detail required for project cost estimates should align with guidance on each planning stage</w:t>
            </w:r>
          </w:p>
        </w:tc>
        <w:tc>
          <w:tcPr>
            <w:tcW w:w="1559" w:type="dxa"/>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914"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040"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r>
      <w:tr w:rsidR="00CE7005" w:rsidRPr="00CE7005" w:rsidTr="003D1EBB">
        <w:trPr>
          <w:trHeight w:val="1275"/>
        </w:trPr>
        <w:tc>
          <w:tcPr>
            <w:tcW w:w="838"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r w:rsidR="0089178C">
              <w:rPr>
                <w:rFonts w:ascii="Calibri" w:eastAsia="Times New Roman" w:hAnsi="Calibri" w:cs="Times New Roman"/>
                <w:color w:val="000000"/>
                <w:sz w:val="20"/>
                <w:szCs w:val="20"/>
                <w:lang w:eastAsia="en-GB"/>
              </w:rPr>
              <w:t>14.2</w:t>
            </w:r>
          </w:p>
        </w:tc>
        <w:tc>
          <w:tcPr>
            <w:tcW w:w="2565" w:type="dxa"/>
            <w:shd w:val="clear" w:color="auto" w:fill="auto"/>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The project becomes unaffordable</w:t>
            </w:r>
          </w:p>
        </w:tc>
        <w:tc>
          <w:tcPr>
            <w:tcW w:w="1559" w:type="dxa"/>
            <w:shd w:val="clear" w:color="auto" w:fill="auto"/>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417"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276"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851"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693" w:type="dxa"/>
            <w:shd w:val="clear" w:color="auto" w:fill="auto"/>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The affordability of the project should be tested at IA stage and further explored as part of the OBC and FBC  stages of the project</w:t>
            </w:r>
          </w:p>
        </w:tc>
        <w:tc>
          <w:tcPr>
            <w:tcW w:w="1559" w:type="dxa"/>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914"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040"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r>
      <w:tr w:rsidR="00CE7005" w:rsidRPr="00CE7005" w:rsidTr="003D1EBB">
        <w:trPr>
          <w:trHeight w:val="255"/>
        </w:trPr>
        <w:tc>
          <w:tcPr>
            <w:tcW w:w="838" w:type="dxa"/>
            <w:shd w:val="clear" w:color="auto" w:fill="auto"/>
            <w:noWrap/>
            <w:vAlign w:val="center"/>
            <w:hideMark/>
          </w:tcPr>
          <w:p w:rsidR="00CE7005" w:rsidRPr="00CE7005" w:rsidRDefault="0089178C" w:rsidP="00CE7005">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15</w:t>
            </w:r>
            <w:r w:rsidR="00CE7005" w:rsidRPr="00CE7005">
              <w:rPr>
                <w:rFonts w:ascii="Calibri" w:eastAsia="Times New Roman" w:hAnsi="Calibri" w:cs="Times New Roman"/>
                <w:b/>
                <w:bCs/>
                <w:color w:val="000000"/>
                <w:sz w:val="20"/>
                <w:szCs w:val="20"/>
                <w:lang w:eastAsia="en-GB"/>
              </w:rPr>
              <w:t>.0</w:t>
            </w:r>
          </w:p>
        </w:tc>
        <w:tc>
          <w:tcPr>
            <w:tcW w:w="2565" w:type="dxa"/>
            <w:shd w:val="clear" w:color="auto" w:fill="auto"/>
            <w:vAlign w:val="center"/>
            <w:hideMark/>
          </w:tcPr>
          <w:p w:rsidR="00CE7005" w:rsidRPr="00CE7005" w:rsidRDefault="00CE7005" w:rsidP="00CE7005">
            <w:pPr>
              <w:spacing w:after="0" w:line="240" w:lineRule="auto"/>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Residual value risk</w:t>
            </w:r>
          </w:p>
        </w:tc>
        <w:tc>
          <w:tcPr>
            <w:tcW w:w="1559" w:type="dxa"/>
            <w:shd w:val="clear" w:color="auto" w:fill="auto"/>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 </w:t>
            </w:r>
          </w:p>
        </w:tc>
        <w:tc>
          <w:tcPr>
            <w:tcW w:w="1417"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276"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851"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693" w:type="dxa"/>
            <w:shd w:val="clear" w:color="auto" w:fill="auto"/>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559" w:type="dxa"/>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914"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040"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r>
      <w:tr w:rsidR="00CE7005" w:rsidRPr="00CE7005" w:rsidTr="003D1EBB">
        <w:trPr>
          <w:trHeight w:val="620"/>
        </w:trPr>
        <w:tc>
          <w:tcPr>
            <w:tcW w:w="838"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r w:rsidR="0089178C">
              <w:rPr>
                <w:rFonts w:ascii="Calibri" w:eastAsia="Times New Roman" w:hAnsi="Calibri" w:cs="Times New Roman"/>
                <w:color w:val="000000"/>
                <w:sz w:val="20"/>
                <w:szCs w:val="20"/>
                <w:lang w:eastAsia="en-GB"/>
              </w:rPr>
              <w:t>15.1</w:t>
            </w:r>
          </w:p>
        </w:tc>
        <w:tc>
          <w:tcPr>
            <w:tcW w:w="2565" w:type="dxa"/>
            <w:shd w:val="clear" w:color="auto" w:fill="auto"/>
            <w:vAlign w:val="center"/>
            <w:hideMark/>
          </w:tcPr>
          <w:p w:rsidR="00CE7005" w:rsidRPr="00CE7005" w:rsidRDefault="003D1EBB" w:rsidP="003D1EBB">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Review a</w:t>
            </w:r>
            <w:r w:rsidR="00C44724">
              <w:rPr>
                <w:rFonts w:ascii="Calibri" w:eastAsia="Times New Roman" w:hAnsi="Calibri" w:cs="Times New Roman"/>
                <w:color w:val="000000"/>
                <w:sz w:val="20"/>
                <w:szCs w:val="20"/>
                <w:lang w:eastAsia="en-GB"/>
              </w:rPr>
              <w:t>ny p</w:t>
            </w:r>
            <w:r w:rsidR="00CE7005" w:rsidRPr="00CE7005">
              <w:rPr>
                <w:rFonts w:ascii="Calibri" w:eastAsia="Times New Roman" w:hAnsi="Calibri" w:cs="Times New Roman"/>
                <w:color w:val="000000"/>
                <w:sz w:val="20"/>
                <w:szCs w:val="20"/>
                <w:lang w:eastAsia="en-GB"/>
              </w:rPr>
              <w:t xml:space="preserve">roject </w:t>
            </w:r>
            <w:r w:rsidR="00426716" w:rsidRPr="00CE7005">
              <w:rPr>
                <w:rFonts w:ascii="Calibri" w:eastAsia="Times New Roman" w:hAnsi="Calibri" w:cs="Times New Roman"/>
                <w:color w:val="000000"/>
                <w:sz w:val="20"/>
                <w:szCs w:val="20"/>
                <w:lang w:eastAsia="en-GB"/>
              </w:rPr>
              <w:t>specific</w:t>
            </w:r>
            <w:r w:rsidR="00CE7005" w:rsidRPr="00CE7005">
              <w:rPr>
                <w:rFonts w:ascii="Calibri" w:eastAsia="Times New Roman" w:hAnsi="Calibri" w:cs="Times New Roman"/>
                <w:color w:val="000000"/>
                <w:sz w:val="20"/>
                <w:szCs w:val="20"/>
                <w:lang w:eastAsia="en-GB"/>
              </w:rPr>
              <w:t xml:space="preserve"> risks</w:t>
            </w:r>
          </w:p>
        </w:tc>
        <w:tc>
          <w:tcPr>
            <w:tcW w:w="1559" w:type="dxa"/>
            <w:shd w:val="clear" w:color="auto" w:fill="auto"/>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417"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276"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851"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693" w:type="dxa"/>
            <w:shd w:val="clear" w:color="auto" w:fill="auto"/>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559" w:type="dxa"/>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914"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040"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r>
    </w:tbl>
    <w:p w:rsidR="003D1EBB" w:rsidRDefault="003D1EBB"/>
    <w:p w:rsidR="003D1EBB" w:rsidRDefault="003D1EBB"/>
    <w:p w:rsidR="003D1EBB" w:rsidRDefault="003D1EBB"/>
    <w:p w:rsidR="003D1EBB" w:rsidRDefault="003D1EBB"/>
    <w:p w:rsidR="003D1EBB" w:rsidRDefault="003D1EBB"/>
    <w:tbl>
      <w:tblPr>
        <w:tblW w:w="14712" w:type="dxa"/>
        <w:tblInd w:w="-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38"/>
        <w:gridCol w:w="2565"/>
        <w:gridCol w:w="1559"/>
        <w:gridCol w:w="1417"/>
        <w:gridCol w:w="1276"/>
        <w:gridCol w:w="851"/>
        <w:gridCol w:w="2693"/>
        <w:gridCol w:w="1559"/>
        <w:gridCol w:w="914"/>
        <w:gridCol w:w="1040"/>
      </w:tblGrid>
      <w:tr w:rsidR="00CE7005" w:rsidRPr="00CE7005" w:rsidTr="003D1EBB">
        <w:trPr>
          <w:trHeight w:val="375"/>
        </w:trPr>
        <w:tc>
          <w:tcPr>
            <w:tcW w:w="4962" w:type="dxa"/>
            <w:gridSpan w:val="3"/>
            <w:shd w:val="clear" w:color="000000" w:fill="FFFF66"/>
            <w:noWrap/>
            <w:vAlign w:val="center"/>
            <w:hideMark/>
          </w:tcPr>
          <w:p w:rsidR="00CE7005" w:rsidRPr="00CE7005" w:rsidRDefault="00CE7005" w:rsidP="00CE7005">
            <w:pPr>
              <w:spacing w:after="0" w:line="240" w:lineRule="auto"/>
              <w:rPr>
                <w:rFonts w:ascii="Calibri" w:eastAsia="Times New Roman" w:hAnsi="Calibri" w:cs="Times New Roman"/>
                <w:b/>
                <w:bCs/>
                <w:color w:val="000000"/>
                <w:sz w:val="28"/>
                <w:szCs w:val="28"/>
                <w:lang w:eastAsia="en-GB"/>
              </w:rPr>
            </w:pPr>
            <w:r w:rsidRPr="00CE7005">
              <w:rPr>
                <w:rFonts w:ascii="Calibri" w:eastAsia="Times New Roman" w:hAnsi="Calibri" w:cs="Times New Roman"/>
                <w:b/>
                <w:bCs/>
                <w:color w:val="000000"/>
                <w:sz w:val="28"/>
                <w:szCs w:val="28"/>
                <w:lang w:eastAsia="en-GB"/>
              </w:rPr>
              <w:lastRenderedPageBreak/>
              <w:t>EXTERNAL RISKS</w:t>
            </w:r>
          </w:p>
        </w:tc>
        <w:tc>
          <w:tcPr>
            <w:tcW w:w="1417" w:type="dxa"/>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b/>
                <w:bCs/>
                <w:color w:val="000000"/>
                <w:sz w:val="28"/>
                <w:szCs w:val="28"/>
                <w:lang w:eastAsia="en-GB"/>
              </w:rPr>
            </w:pPr>
            <w:r w:rsidRPr="00CE7005">
              <w:rPr>
                <w:rFonts w:ascii="Calibri" w:eastAsia="Times New Roman" w:hAnsi="Calibri" w:cs="Times New Roman"/>
                <w:b/>
                <w:bCs/>
                <w:color w:val="000000"/>
                <w:sz w:val="28"/>
                <w:szCs w:val="28"/>
                <w:lang w:eastAsia="en-GB"/>
              </w:rPr>
              <w:t> </w:t>
            </w:r>
          </w:p>
        </w:tc>
        <w:tc>
          <w:tcPr>
            <w:tcW w:w="1276" w:type="dxa"/>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b/>
                <w:bCs/>
                <w:color w:val="000000"/>
                <w:sz w:val="28"/>
                <w:szCs w:val="28"/>
                <w:lang w:eastAsia="en-GB"/>
              </w:rPr>
            </w:pPr>
            <w:r w:rsidRPr="00CE7005">
              <w:rPr>
                <w:rFonts w:ascii="Calibri" w:eastAsia="Times New Roman" w:hAnsi="Calibri" w:cs="Times New Roman"/>
                <w:b/>
                <w:bCs/>
                <w:color w:val="000000"/>
                <w:sz w:val="28"/>
                <w:szCs w:val="28"/>
                <w:lang w:eastAsia="en-GB"/>
              </w:rPr>
              <w:t> </w:t>
            </w:r>
          </w:p>
        </w:tc>
        <w:tc>
          <w:tcPr>
            <w:tcW w:w="851"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693" w:type="dxa"/>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b/>
                <w:bCs/>
                <w:color w:val="000000"/>
                <w:sz w:val="28"/>
                <w:szCs w:val="28"/>
                <w:lang w:eastAsia="en-GB"/>
              </w:rPr>
            </w:pPr>
            <w:r w:rsidRPr="00CE7005">
              <w:rPr>
                <w:rFonts w:ascii="Calibri" w:eastAsia="Times New Roman" w:hAnsi="Calibri" w:cs="Times New Roman"/>
                <w:b/>
                <w:bCs/>
                <w:color w:val="000000"/>
                <w:sz w:val="28"/>
                <w:szCs w:val="28"/>
                <w:lang w:eastAsia="en-GB"/>
              </w:rPr>
              <w:t> </w:t>
            </w:r>
          </w:p>
        </w:tc>
        <w:tc>
          <w:tcPr>
            <w:tcW w:w="1559" w:type="dxa"/>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914"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040"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r>
      <w:tr w:rsidR="0089178C" w:rsidRPr="00CE7005" w:rsidTr="003D1EBB">
        <w:trPr>
          <w:trHeight w:val="255"/>
        </w:trPr>
        <w:tc>
          <w:tcPr>
            <w:tcW w:w="838" w:type="dxa"/>
            <w:shd w:val="clear" w:color="auto" w:fill="auto"/>
            <w:noWrap/>
            <w:vAlign w:val="center"/>
            <w:hideMark/>
          </w:tcPr>
          <w:p w:rsidR="0089178C" w:rsidRPr="00CE7005" w:rsidRDefault="0089178C" w:rsidP="0089178C">
            <w:pPr>
              <w:spacing w:after="0" w:line="240" w:lineRule="auto"/>
              <w:jc w:val="cente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16</w:t>
            </w:r>
            <w:r w:rsidRPr="00CE7005">
              <w:rPr>
                <w:rFonts w:ascii="Calibri" w:eastAsia="Times New Roman" w:hAnsi="Calibri" w:cs="Times New Roman"/>
                <w:b/>
                <w:bCs/>
                <w:color w:val="000000"/>
                <w:sz w:val="20"/>
                <w:szCs w:val="20"/>
                <w:lang w:eastAsia="en-GB"/>
              </w:rPr>
              <w:t>.0</w:t>
            </w:r>
          </w:p>
        </w:tc>
        <w:tc>
          <w:tcPr>
            <w:tcW w:w="2565" w:type="dxa"/>
            <w:shd w:val="clear" w:color="auto" w:fill="auto"/>
            <w:vAlign w:val="center"/>
            <w:hideMark/>
          </w:tcPr>
          <w:p w:rsidR="0089178C" w:rsidRPr="00CE7005" w:rsidRDefault="0089178C" w:rsidP="0089178C">
            <w:pPr>
              <w:spacing w:after="0" w:line="240" w:lineRule="auto"/>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Economic risk</w:t>
            </w:r>
          </w:p>
        </w:tc>
        <w:tc>
          <w:tcPr>
            <w:tcW w:w="1559" w:type="dxa"/>
            <w:shd w:val="clear" w:color="auto" w:fill="auto"/>
            <w:vAlign w:val="center"/>
            <w:hideMark/>
          </w:tcPr>
          <w:p w:rsidR="0089178C" w:rsidRPr="00CE7005" w:rsidRDefault="0089178C" w:rsidP="0089178C">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 </w:t>
            </w:r>
          </w:p>
        </w:tc>
        <w:tc>
          <w:tcPr>
            <w:tcW w:w="1417" w:type="dxa"/>
            <w:shd w:val="clear" w:color="auto" w:fill="auto"/>
            <w:noWrap/>
            <w:vAlign w:val="center"/>
            <w:hideMark/>
          </w:tcPr>
          <w:p w:rsidR="0089178C" w:rsidRPr="00CE7005" w:rsidRDefault="0089178C" w:rsidP="0089178C">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276" w:type="dxa"/>
            <w:shd w:val="clear" w:color="auto" w:fill="auto"/>
            <w:noWrap/>
            <w:vAlign w:val="center"/>
            <w:hideMark/>
          </w:tcPr>
          <w:p w:rsidR="0089178C" w:rsidRPr="00CE7005" w:rsidRDefault="0089178C" w:rsidP="0089178C">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851" w:type="dxa"/>
            <w:shd w:val="clear" w:color="auto" w:fill="auto"/>
            <w:noWrap/>
            <w:vAlign w:val="center"/>
            <w:hideMark/>
          </w:tcPr>
          <w:p w:rsidR="0089178C" w:rsidRPr="00CE7005" w:rsidRDefault="0089178C" w:rsidP="0089178C">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693" w:type="dxa"/>
            <w:shd w:val="clear" w:color="auto" w:fill="auto"/>
            <w:vAlign w:val="center"/>
            <w:hideMark/>
          </w:tcPr>
          <w:p w:rsidR="0089178C" w:rsidRPr="00CE7005" w:rsidRDefault="0089178C" w:rsidP="0089178C">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559" w:type="dxa"/>
            <w:shd w:val="clear" w:color="auto" w:fill="auto"/>
            <w:noWrap/>
            <w:vAlign w:val="center"/>
            <w:hideMark/>
          </w:tcPr>
          <w:p w:rsidR="0089178C" w:rsidRPr="00CE7005" w:rsidRDefault="0089178C" w:rsidP="0089178C">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914" w:type="dxa"/>
            <w:shd w:val="clear" w:color="auto" w:fill="auto"/>
            <w:noWrap/>
            <w:vAlign w:val="center"/>
            <w:hideMark/>
          </w:tcPr>
          <w:p w:rsidR="0089178C" w:rsidRPr="00CE7005" w:rsidRDefault="0089178C" w:rsidP="0089178C">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040" w:type="dxa"/>
            <w:shd w:val="clear" w:color="auto" w:fill="auto"/>
            <w:noWrap/>
            <w:vAlign w:val="center"/>
            <w:hideMark/>
          </w:tcPr>
          <w:p w:rsidR="0089178C" w:rsidRPr="00CE7005" w:rsidRDefault="0089178C" w:rsidP="0089178C">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r>
      <w:tr w:rsidR="0089178C" w:rsidRPr="00CE7005" w:rsidTr="003D1EBB">
        <w:trPr>
          <w:trHeight w:val="765"/>
        </w:trPr>
        <w:tc>
          <w:tcPr>
            <w:tcW w:w="838" w:type="dxa"/>
            <w:shd w:val="clear" w:color="auto" w:fill="auto"/>
            <w:noWrap/>
            <w:vAlign w:val="center"/>
            <w:hideMark/>
          </w:tcPr>
          <w:p w:rsidR="0089178C" w:rsidRPr="00CE7005" w:rsidRDefault="0089178C" w:rsidP="0089178C">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r>
              <w:rPr>
                <w:rFonts w:ascii="Calibri" w:eastAsia="Times New Roman" w:hAnsi="Calibri" w:cs="Times New Roman"/>
                <w:color w:val="000000"/>
                <w:sz w:val="20"/>
                <w:szCs w:val="20"/>
                <w:lang w:eastAsia="en-GB"/>
              </w:rPr>
              <w:t>16.1</w:t>
            </w:r>
          </w:p>
        </w:tc>
        <w:tc>
          <w:tcPr>
            <w:tcW w:w="2565" w:type="dxa"/>
            <w:shd w:val="clear" w:color="auto" w:fill="auto"/>
            <w:vAlign w:val="center"/>
            <w:hideMark/>
          </w:tcPr>
          <w:p w:rsidR="0089178C" w:rsidRPr="00CE7005" w:rsidRDefault="0089178C" w:rsidP="0089178C">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Inflation costs rise above those projected</w:t>
            </w:r>
          </w:p>
        </w:tc>
        <w:tc>
          <w:tcPr>
            <w:tcW w:w="1559" w:type="dxa"/>
            <w:shd w:val="clear" w:color="auto" w:fill="auto"/>
            <w:vAlign w:val="center"/>
            <w:hideMark/>
          </w:tcPr>
          <w:p w:rsidR="0089178C" w:rsidRPr="00CE7005" w:rsidRDefault="0089178C" w:rsidP="0089178C">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417" w:type="dxa"/>
            <w:shd w:val="clear" w:color="auto" w:fill="auto"/>
            <w:noWrap/>
            <w:vAlign w:val="center"/>
            <w:hideMark/>
          </w:tcPr>
          <w:p w:rsidR="0089178C" w:rsidRPr="00CE7005" w:rsidRDefault="0089178C" w:rsidP="0089178C">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276" w:type="dxa"/>
            <w:shd w:val="clear" w:color="auto" w:fill="auto"/>
            <w:noWrap/>
            <w:vAlign w:val="center"/>
            <w:hideMark/>
          </w:tcPr>
          <w:p w:rsidR="0089178C" w:rsidRPr="00CE7005" w:rsidRDefault="0089178C" w:rsidP="0089178C">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851" w:type="dxa"/>
            <w:shd w:val="clear" w:color="auto" w:fill="auto"/>
            <w:noWrap/>
            <w:vAlign w:val="center"/>
            <w:hideMark/>
          </w:tcPr>
          <w:p w:rsidR="0089178C" w:rsidRPr="00CE7005" w:rsidRDefault="0089178C" w:rsidP="0089178C">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693" w:type="dxa"/>
            <w:shd w:val="clear" w:color="auto" w:fill="auto"/>
            <w:vAlign w:val="center"/>
            <w:hideMark/>
          </w:tcPr>
          <w:p w:rsidR="0089178C" w:rsidRPr="00CE7005" w:rsidRDefault="0089178C" w:rsidP="0089178C">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The likelihood of this occurring needs to be considered as part of the Financial Case</w:t>
            </w:r>
          </w:p>
        </w:tc>
        <w:tc>
          <w:tcPr>
            <w:tcW w:w="1559" w:type="dxa"/>
            <w:shd w:val="clear" w:color="auto" w:fill="auto"/>
            <w:noWrap/>
            <w:vAlign w:val="center"/>
            <w:hideMark/>
          </w:tcPr>
          <w:p w:rsidR="0089178C" w:rsidRPr="00CE7005" w:rsidRDefault="0089178C" w:rsidP="0089178C">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914" w:type="dxa"/>
            <w:shd w:val="clear" w:color="auto" w:fill="auto"/>
            <w:noWrap/>
            <w:vAlign w:val="center"/>
            <w:hideMark/>
          </w:tcPr>
          <w:p w:rsidR="0089178C" w:rsidRPr="00CE7005" w:rsidRDefault="0089178C" w:rsidP="0089178C">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040" w:type="dxa"/>
            <w:shd w:val="clear" w:color="auto" w:fill="auto"/>
            <w:noWrap/>
            <w:vAlign w:val="center"/>
            <w:hideMark/>
          </w:tcPr>
          <w:p w:rsidR="0089178C" w:rsidRPr="00CE7005" w:rsidRDefault="0089178C" w:rsidP="0089178C">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r>
      <w:tr w:rsidR="00CE7005" w:rsidRPr="00CE7005" w:rsidTr="003D1EBB">
        <w:trPr>
          <w:trHeight w:val="255"/>
        </w:trPr>
        <w:tc>
          <w:tcPr>
            <w:tcW w:w="838"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17.0</w:t>
            </w:r>
          </w:p>
        </w:tc>
        <w:tc>
          <w:tcPr>
            <w:tcW w:w="2565" w:type="dxa"/>
            <w:shd w:val="clear" w:color="auto" w:fill="auto"/>
            <w:vAlign w:val="center"/>
            <w:hideMark/>
          </w:tcPr>
          <w:p w:rsidR="00CE7005" w:rsidRPr="00CE7005" w:rsidRDefault="00CE7005" w:rsidP="00CE7005">
            <w:pPr>
              <w:spacing w:after="0" w:line="240" w:lineRule="auto"/>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Legislative risk</w:t>
            </w:r>
          </w:p>
        </w:tc>
        <w:tc>
          <w:tcPr>
            <w:tcW w:w="1559" w:type="dxa"/>
            <w:shd w:val="clear" w:color="auto" w:fill="auto"/>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 </w:t>
            </w:r>
          </w:p>
        </w:tc>
        <w:tc>
          <w:tcPr>
            <w:tcW w:w="1417"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276"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851"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693" w:type="dxa"/>
            <w:shd w:val="clear" w:color="auto" w:fill="auto"/>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559" w:type="dxa"/>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914"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040"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r>
      <w:tr w:rsidR="00CE7005" w:rsidRPr="00CE7005" w:rsidTr="003D1EBB">
        <w:trPr>
          <w:trHeight w:val="765"/>
        </w:trPr>
        <w:tc>
          <w:tcPr>
            <w:tcW w:w="838"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565" w:type="dxa"/>
            <w:shd w:val="clear" w:color="auto" w:fill="auto"/>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Changes in legislation or tax rules increase project costs</w:t>
            </w:r>
          </w:p>
        </w:tc>
        <w:tc>
          <w:tcPr>
            <w:tcW w:w="1559" w:type="dxa"/>
            <w:shd w:val="clear" w:color="auto" w:fill="auto"/>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417"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276"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851"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693" w:type="dxa"/>
            <w:shd w:val="clear" w:color="auto" w:fill="auto"/>
            <w:vAlign w:val="center"/>
            <w:hideMark/>
          </w:tcPr>
          <w:p w:rsidR="00CE7005" w:rsidRPr="00CE7005" w:rsidRDefault="00CE7005" w:rsidP="003D1EBB">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xml:space="preserve">The likelihood of this </w:t>
            </w:r>
            <w:r w:rsidR="00426716" w:rsidRPr="00CE7005">
              <w:rPr>
                <w:rFonts w:ascii="Calibri" w:eastAsia="Times New Roman" w:hAnsi="Calibri" w:cs="Times New Roman"/>
                <w:color w:val="000000"/>
                <w:sz w:val="20"/>
                <w:szCs w:val="20"/>
                <w:lang w:eastAsia="en-GB"/>
              </w:rPr>
              <w:t>occurring</w:t>
            </w:r>
            <w:r w:rsidRPr="00CE7005">
              <w:rPr>
                <w:rFonts w:ascii="Calibri" w:eastAsia="Times New Roman" w:hAnsi="Calibri" w:cs="Times New Roman"/>
                <w:color w:val="000000"/>
                <w:sz w:val="20"/>
                <w:szCs w:val="20"/>
                <w:lang w:eastAsia="en-GB"/>
              </w:rPr>
              <w:t xml:space="preserve"> </w:t>
            </w:r>
            <w:r w:rsidR="003D1EBB">
              <w:rPr>
                <w:rFonts w:ascii="Calibri" w:eastAsia="Times New Roman" w:hAnsi="Calibri" w:cs="Times New Roman"/>
                <w:color w:val="000000"/>
                <w:sz w:val="20"/>
                <w:szCs w:val="20"/>
                <w:lang w:eastAsia="en-GB"/>
              </w:rPr>
              <w:t xml:space="preserve">should </w:t>
            </w:r>
            <w:r w:rsidRPr="00CE7005">
              <w:rPr>
                <w:rFonts w:ascii="Calibri" w:eastAsia="Times New Roman" w:hAnsi="Calibri" w:cs="Times New Roman"/>
                <w:color w:val="000000"/>
                <w:sz w:val="20"/>
                <w:szCs w:val="20"/>
                <w:lang w:eastAsia="en-GB"/>
              </w:rPr>
              <w:t>be considered as part of this risk register</w:t>
            </w:r>
          </w:p>
        </w:tc>
        <w:tc>
          <w:tcPr>
            <w:tcW w:w="1559" w:type="dxa"/>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914"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040"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r>
      <w:tr w:rsidR="00CE7005" w:rsidRPr="00CE7005" w:rsidTr="003D1EBB">
        <w:trPr>
          <w:trHeight w:val="255"/>
        </w:trPr>
        <w:tc>
          <w:tcPr>
            <w:tcW w:w="838"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18.0</w:t>
            </w:r>
          </w:p>
        </w:tc>
        <w:tc>
          <w:tcPr>
            <w:tcW w:w="2565" w:type="dxa"/>
            <w:shd w:val="clear" w:color="auto" w:fill="auto"/>
            <w:vAlign w:val="center"/>
            <w:hideMark/>
          </w:tcPr>
          <w:p w:rsidR="00CE7005" w:rsidRPr="00CE7005" w:rsidRDefault="00CE7005" w:rsidP="00CE7005">
            <w:pPr>
              <w:spacing w:after="0" w:line="240" w:lineRule="auto"/>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Policy risk</w:t>
            </w:r>
          </w:p>
        </w:tc>
        <w:tc>
          <w:tcPr>
            <w:tcW w:w="1559" w:type="dxa"/>
            <w:shd w:val="clear" w:color="auto" w:fill="auto"/>
            <w:vAlign w:val="center"/>
            <w:hideMark/>
          </w:tcPr>
          <w:p w:rsidR="00CE7005" w:rsidRPr="00CE7005" w:rsidRDefault="00CE7005" w:rsidP="00CE7005">
            <w:pPr>
              <w:spacing w:after="0" w:line="240" w:lineRule="auto"/>
              <w:jc w:val="center"/>
              <w:rPr>
                <w:rFonts w:ascii="Calibri" w:eastAsia="Times New Roman" w:hAnsi="Calibri" w:cs="Times New Roman"/>
                <w:b/>
                <w:bCs/>
                <w:color w:val="000000"/>
                <w:sz w:val="20"/>
                <w:szCs w:val="20"/>
                <w:lang w:eastAsia="en-GB"/>
              </w:rPr>
            </w:pPr>
            <w:r w:rsidRPr="00CE7005">
              <w:rPr>
                <w:rFonts w:ascii="Calibri" w:eastAsia="Times New Roman" w:hAnsi="Calibri" w:cs="Times New Roman"/>
                <w:b/>
                <w:bCs/>
                <w:color w:val="000000"/>
                <w:sz w:val="20"/>
                <w:szCs w:val="20"/>
                <w:lang w:eastAsia="en-GB"/>
              </w:rPr>
              <w:t> </w:t>
            </w:r>
          </w:p>
        </w:tc>
        <w:tc>
          <w:tcPr>
            <w:tcW w:w="1417"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276"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851"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693" w:type="dxa"/>
            <w:shd w:val="clear" w:color="auto" w:fill="auto"/>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559" w:type="dxa"/>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914"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040"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r>
      <w:tr w:rsidR="00CE7005" w:rsidRPr="00CE7005" w:rsidTr="003D1EBB">
        <w:trPr>
          <w:trHeight w:val="765"/>
        </w:trPr>
        <w:tc>
          <w:tcPr>
            <w:tcW w:w="838"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565" w:type="dxa"/>
            <w:shd w:val="clear" w:color="auto" w:fill="auto"/>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Changes to non-legislation policy affects project cost or progress</w:t>
            </w:r>
          </w:p>
        </w:tc>
        <w:tc>
          <w:tcPr>
            <w:tcW w:w="1559" w:type="dxa"/>
            <w:shd w:val="clear" w:color="auto" w:fill="auto"/>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417"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276"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851"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693" w:type="dxa"/>
            <w:shd w:val="clear" w:color="auto" w:fill="auto"/>
            <w:vAlign w:val="center"/>
            <w:hideMark/>
          </w:tcPr>
          <w:p w:rsidR="00CE7005" w:rsidRPr="00CE7005" w:rsidRDefault="00CE7005" w:rsidP="003D1EBB">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xml:space="preserve">The likelihood of this </w:t>
            </w:r>
            <w:r w:rsidR="00426716" w:rsidRPr="00CE7005">
              <w:rPr>
                <w:rFonts w:ascii="Calibri" w:eastAsia="Times New Roman" w:hAnsi="Calibri" w:cs="Times New Roman"/>
                <w:color w:val="000000"/>
                <w:sz w:val="20"/>
                <w:szCs w:val="20"/>
                <w:lang w:eastAsia="en-GB"/>
              </w:rPr>
              <w:t>occurring</w:t>
            </w:r>
            <w:r w:rsidRPr="00CE7005">
              <w:rPr>
                <w:rFonts w:ascii="Calibri" w:eastAsia="Times New Roman" w:hAnsi="Calibri" w:cs="Times New Roman"/>
                <w:color w:val="000000"/>
                <w:sz w:val="20"/>
                <w:szCs w:val="20"/>
                <w:lang w:eastAsia="en-GB"/>
              </w:rPr>
              <w:t xml:space="preserve"> </w:t>
            </w:r>
            <w:r w:rsidR="003D1EBB">
              <w:rPr>
                <w:rFonts w:ascii="Calibri" w:eastAsia="Times New Roman" w:hAnsi="Calibri" w:cs="Times New Roman"/>
                <w:color w:val="000000"/>
                <w:sz w:val="20"/>
                <w:szCs w:val="20"/>
                <w:lang w:eastAsia="en-GB"/>
              </w:rPr>
              <w:t xml:space="preserve">should </w:t>
            </w:r>
            <w:r w:rsidRPr="00CE7005">
              <w:rPr>
                <w:rFonts w:ascii="Calibri" w:eastAsia="Times New Roman" w:hAnsi="Calibri" w:cs="Times New Roman"/>
                <w:color w:val="000000"/>
                <w:sz w:val="20"/>
                <w:szCs w:val="20"/>
                <w:lang w:eastAsia="en-GB"/>
              </w:rPr>
              <w:t>be considered as part of this risk register</w:t>
            </w:r>
          </w:p>
        </w:tc>
        <w:tc>
          <w:tcPr>
            <w:tcW w:w="1559" w:type="dxa"/>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914"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040"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r>
      <w:tr w:rsidR="00CE7005" w:rsidRPr="00CE7005" w:rsidTr="003D1EBB">
        <w:trPr>
          <w:trHeight w:val="780"/>
        </w:trPr>
        <w:tc>
          <w:tcPr>
            <w:tcW w:w="838"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565" w:type="dxa"/>
            <w:shd w:val="clear" w:color="auto" w:fill="auto"/>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There are uncertainties over future policy changes</w:t>
            </w:r>
          </w:p>
        </w:tc>
        <w:tc>
          <w:tcPr>
            <w:tcW w:w="1559" w:type="dxa"/>
            <w:shd w:val="clear" w:color="auto" w:fill="auto"/>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417"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276"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851"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2693" w:type="dxa"/>
            <w:shd w:val="clear" w:color="auto" w:fill="auto"/>
            <w:vAlign w:val="center"/>
            <w:hideMark/>
          </w:tcPr>
          <w:p w:rsidR="00CE7005" w:rsidRPr="00CE7005" w:rsidRDefault="00CE7005" w:rsidP="003D1EBB">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xml:space="preserve">The likelihood of this </w:t>
            </w:r>
            <w:r w:rsidR="00426716" w:rsidRPr="00CE7005">
              <w:rPr>
                <w:rFonts w:ascii="Calibri" w:eastAsia="Times New Roman" w:hAnsi="Calibri" w:cs="Times New Roman"/>
                <w:color w:val="000000"/>
                <w:sz w:val="20"/>
                <w:szCs w:val="20"/>
                <w:lang w:eastAsia="en-GB"/>
              </w:rPr>
              <w:t>occurring</w:t>
            </w:r>
            <w:r w:rsidRPr="00CE7005">
              <w:rPr>
                <w:rFonts w:ascii="Calibri" w:eastAsia="Times New Roman" w:hAnsi="Calibri" w:cs="Times New Roman"/>
                <w:color w:val="000000"/>
                <w:sz w:val="20"/>
                <w:szCs w:val="20"/>
                <w:lang w:eastAsia="en-GB"/>
              </w:rPr>
              <w:t xml:space="preserve"> </w:t>
            </w:r>
            <w:r w:rsidR="003D1EBB">
              <w:rPr>
                <w:rFonts w:ascii="Calibri" w:eastAsia="Times New Roman" w:hAnsi="Calibri" w:cs="Times New Roman"/>
                <w:color w:val="000000"/>
                <w:sz w:val="20"/>
                <w:szCs w:val="20"/>
                <w:lang w:eastAsia="en-GB"/>
              </w:rPr>
              <w:t xml:space="preserve">should </w:t>
            </w:r>
            <w:r w:rsidRPr="00CE7005">
              <w:rPr>
                <w:rFonts w:ascii="Calibri" w:eastAsia="Times New Roman" w:hAnsi="Calibri" w:cs="Times New Roman"/>
                <w:color w:val="000000"/>
                <w:sz w:val="20"/>
                <w:szCs w:val="20"/>
                <w:lang w:eastAsia="en-GB"/>
              </w:rPr>
              <w:t>be considered as part of this risk register</w:t>
            </w:r>
          </w:p>
        </w:tc>
        <w:tc>
          <w:tcPr>
            <w:tcW w:w="1559" w:type="dxa"/>
            <w:shd w:val="clear" w:color="auto" w:fill="auto"/>
            <w:noWrap/>
            <w:vAlign w:val="center"/>
            <w:hideMark/>
          </w:tcPr>
          <w:p w:rsidR="00CE7005" w:rsidRPr="00CE7005" w:rsidRDefault="00CE7005" w:rsidP="00CE7005">
            <w:pPr>
              <w:spacing w:after="0" w:line="240" w:lineRule="auto"/>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914"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c>
          <w:tcPr>
            <w:tcW w:w="1040" w:type="dxa"/>
            <w:shd w:val="clear" w:color="auto" w:fill="auto"/>
            <w:noWrap/>
            <w:vAlign w:val="center"/>
            <w:hideMark/>
          </w:tcPr>
          <w:p w:rsidR="00CE7005" w:rsidRPr="00CE7005" w:rsidRDefault="00CE7005" w:rsidP="00CE7005">
            <w:pPr>
              <w:spacing w:after="0" w:line="240" w:lineRule="auto"/>
              <w:jc w:val="center"/>
              <w:rPr>
                <w:rFonts w:ascii="Calibri" w:eastAsia="Times New Roman" w:hAnsi="Calibri" w:cs="Times New Roman"/>
                <w:color w:val="000000"/>
                <w:sz w:val="20"/>
                <w:szCs w:val="20"/>
                <w:lang w:eastAsia="en-GB"/>
              </w:rPr>
            </w:pPr>
            <w:r w:rsidRPr="00CE7005">
              <w:rPr>
                <w:rFonts w:ascii="Calibri" w:eastAsia="Times New Roman" w:hAnsi="Calibri" w:cs="Times New Roman"/>
                <w:color w:val="000000"/>
                <w:sz w:val="20"/>
                <w:szCs w:val="20"/>
                <w:lang w:eastAsia="en-GB"/>
              </w:rPr>
              <w:t> </w:t>
            </w:r>
          </w:p>
        </w:tc>
      </w:tr>
    </w:tbl>
    <w:p w:rsidR="00CC204A" w:rsidRDefault="00CC204A" w:rsidP="0038452F">
      <w:pPr>
        <w:rPr>
          <w:rFonts w:ascii="Arial" w:hAnsi="Arial" w:cs="Arial"/>
          <w:b/>
          <w:sz w:val="24"/>
          <w:szCs w:val="24"/>
        </w:rPr>
      </w:pPr>
    </w:p>
    <w:p w:rsidR="00426716" w:rsidRDefault="00426716" w:rsidP="0038452F">
      <w:pPr>
        <w:rPr>
          <w:rFonts w:ascii="Arial" w:hAnsi="Arial" w:cs="Arial"/>
          <w:b/>
          <w:sz w:val="24"/>
          <w:szCs w:val="24"/>
        </w:rPr>
        <w:sectPr w:rsidR="00426716" w:rsidSect="00CC204A">
          <w:footerReference w:type="default" r:id="rId24"/>
          <w:pgSz w:w="16838" w:h="11906" w:orient="landscape"/>
          <w:pgMar w:top="851" w:right="1440" w:bottom="851" w:left="1361" w:header="567" w:footer="567" w:gutter="0"/>
          <w:cols w:space="708"/>
          <w:docGrid w:linePitch="360"/>
        </w:sectPr>
      </w:pPr>
    </w:p>
    <w:p w:rsidR="00426716" w:rsidRDefault="00426716" w:rsidP="00426716">
      <w:pPr>
        <w:pStyle w:val="StandardAppendixHeading"/>
      </w:pPr>
      <w:bookmarkStart w:id="30" w:name="_Toc415492019"/>
      <w:r>
        <w:lastRenderedPageBreak/>
        <w:t>Appendix D: Additional Project Risks at OBC stage</w:t>
      </w:r>
      <w:bookmarkEnd w:id="30"/>
    </w:p>
    <w:tbl>
      <w:tblPr>
        <w:tblW w:w="14714" w:type="dxa"/>
        <w:tblInd w:w="-34" w:type="dxa"/>
        <w:tblLayout w:type="fixed"/>
        <w:tblLook w:val="04A0"/>
      </w:tblPr>
      <w:tblGrid>
        <w:gridCol w:w="818"/>
        <w:gridCol w:w="2586"/>
        <w:gridCol w:w="1568"/>
        <w:gridCol w:w="1399"/>
        <w:gridCol w:w="1288"/>
        <w:gridCol w:w="854"/>
        <w:gridCol w:w="2674"/>
        <w:gridCol w:w="1567"/>
        <w:gridCol w:w="910"/>
        <w:gridCol w:w="1050"/>
      </w:tblGrid>
      <w:tr w:rsidR="00627CF2" w:rsidRPr="00627CF2" w:rsidTr="00627CF2">
        <w:trPr>
          <w:trHeight w:val="600"/>
          <w:tblHeader/>
        </w:trPr>
        <w:tc>
          <w:tcPr>
            <w:tcW w:w="4972" w:type="dxa"/>
            <w:gridSpan w:val="3"/>
            <w:tcBorders>
              <w:top w:val="single" w:sz="8" w:space="0" w:color="auto"/>
              <w:left w:val="single" w:sz="8" w:space="0" w:color="auto"/>
              <w:bottom w:val="single" w:sz="4" w:space="0" w:color="auto"/>
              <w:right w:val="single" w:sz="4" w:space="0" w:color="auto"/>
            </w:tcBorders>
            <w:shd w:val="clear" w:color="000000" w:fill="31849B"/>
            <w:noWrap/>
            <w:vAlign w:val="center"/>
            <w:hideMark/>
          </w:tcPr>
          <w:p w:rsidR="00627CF2" w:rsidRPr="00627CF2" w:rsidRDefault="00627CF2" w:rsidP="00627CF2">
            <w:pPr>
              <w:spacing w:after="0" w:line="240" w:lineRule="auto"/>
              <w:jc w:val="center"/>
              <w:rPr>
                <w:rFonts w:ascii="Calibri" w:eastAsia="Times New Roman" w:hAnsi="Calibri" w:cs="Times New Roman"/>
                <w:b/>
                <w:bCs/>
                <w:color w:val="FFFFFF"/>
                <w:sz w:val="24"/>
                <w:szCs w:val="24"/>
                <w:lang w:eastAsia="en-GB"/>
              </w:rPr>
            </w:pPr>
            <w:r w:rsidRPr="00627CF2">
              <w:rPr>
                <w:rFonts w:ascii="Calibri" w:eastAsia="Times New Roman" w:hAnsi="Calibri" w:cs="Times New Roman"/>
                <w:b/>
                <w:bCs/>
                <w:color w:val="FFFFFF"/>
                <w:sz w:val="24"/>
                <w:szCs w:val="24"/>
                <w:lang w:eastAsia="en-GB"/>
              </w:rPr>
              <w:t>1.  Identification</w:t>
            </w:r>
          </w:p>
        </w:tc>
        <w:tc>
          <w:tcPr>
            <w:tcW w:w="3541" w:type="dxa"/>
            <w:gridSpan w:val="3"/>
            <w:tcBorders>
              <w:top w:val="single" w:sz="8" w:space="0" w:color="auto"/>
              <w:left w:val="nil"/>
              <w:bottom w:val="single" w:sz="4" w:space="0" w:color="auto"/>
              <w:right w:val="single" w:sz="4" w:space="0" w:color="auto"/>
            </w:tcBorders>
            <w:shd w:val="clear" w:color="000000" w:fill="31849B"/>
            <w:noWrap/>
            <w:vAlign w:val="center"/>
            <w:hideMark/>
          </w:tcPr>
          <w:p w:rsidR="00627CF2" w:rsidRPr="00627CF2" w:rsidRDefault="00627CF2" w:rsidP="00627CF2">
            <w:pPr>
              <w:spacing w:after="0" w:line="240" w:lineRule="auto"/>
              <w:jc w:val="center"/>
              <w:rPr>
                <w:rFonts w:ascii="Calibri" w:eastAsia="Times New Roman" w:hAnsi="Calibri" w:cs="Times New Roman"/>
                <w:b/>
                <w:bCs/>
                <w:color w:val="FFFFFF"/>
                <w:sz w:val="24"/>
                <w:szCs w:val="24"/>
                <w:lang w:eastAsia="en-GB"/>
              </w:rPr>
            </w:pPr>
            <w:r w:rsidRPr="00627CF2">
              <w:rPr>
                <w:rFonts w:ascii="Calibri" w:eastAsia="Times New Roman" w:hAnsi="Calibri" w:cs="Times New Roman"/>
                <w:b/>
                <w:bCs/>
                <w:color w:val="FFFFFF"/>
                <w:sz w:val="24"/>
                <w:szCs w:val="24"/>
                <w:lang w:eastAsia="en-GB"/>
              </w:rPr>
              <w:t>2.  Assessment</w:t>
            </w:r>
          </w:p>
        </w:tc>
        <w:tc>
          <w:tcPr>
            <w:tcW w:w="4241" w:type="dxa"/>
            <w:gridSpan w:val="2"/>
            <w:tcBorders>
              <w:top w:val="single" w:sz="8" w:space="0" w:color="auto"/>
              <w:left w:val="nil"/>
              <w:bottom w:val="single" w:sz="4" w:space="0" w:color="auto"/>
              <w:right w:val="single" w:sz="4" w:space="0" w:color="auto"/>
            </w:tcBorders>
            <w:shd w:val="clear" w:color="000000" w:fill="31849B"/>
            <w:noWrap/>
            <w:vAlign w:val="center"/>
            <w:hideMark/>
          </w:tcPr>
          <w:p w:rsidR="00627CF2" w:rsidRPr="00627CF2" w:rsidRDefault="00627CF2" w:rsidP="00627CF2">
            <w:pPr>
              <w:spacing w:after="0" w:line="240" w:lineRule="auto"/>
              <w:jc w:val="center"/>
              <w:rPr>
                <w:rFonts w:ascii="Calibri" w:eastAsia="Times New Roman" w:hAnsi="Calibri" w:cs="Times New Roman"/>
                <w:b/>
                <w:bCs/>
                <w:color w:val="FFFFFF"/>
                <w:sz w:val="24"/>
                <w:szCs w:val="24"/>
                <w:lang w:eastAsia="en-GB"/>
              </w:rPr>
            </w:pPr>
            <w:r w:rsidRPr="00627CF2">
              <w:rPr>
                <w:rFonts w:ascii="Calibri" w:eastAsia="Times New Roman" w:hAnsi="Calibri" w:cs="Times New Roman"/>
                <w:b/>
                <w:bCs/>
                <w:color w:val="FFFFFF"/>
                <w:sz w:val="24"/>
                <w:szCs w:val="24"/>
                <w:lang w:eastAsia="en-GB"/>
              </w:rPr>
              <w:t>3.  Control</w:t>
            </w:r>
          </w:p>
        </w:tc>
        <w:tc>
          <w:tcPr>
            <w:tcW w:w="1960" w:type="dxa"/>
            <w:gridSpan w:val="2"/>
            <w:tcBorders>
              <w:top w:val="single" w:sz="8" w:space="0" w:color="auto"/>
              <w:left w:val="nil"/>
              <w:bottom w:val="single" w:sz="4" w:space="0" w:color="auto"/>
              <w:right w:val="single" w:sz="8" w:space="0" w:color="000000"/>
            </w:tcBorders>
            <w:shd w:val="clear" w:color="000000" w:fill="31849B"/>
            <w:noWrap/>
            <w:vAlign w:val="center"/>
            <w:hideMark/>
          </w:tcPr>
          <w:p w:rsidR="00627CF2" w:rsidRPr="00627CF2" w:rsidRDefault="00627CF2" w:rsidP="00627CF2">
            <w:pPr>
              <w:spacing w:after="0" w:line="240" w:lineRule="auto"/>
              <w:jc w:val="center"/>
              <w:rPr>
                <w:rFonts w:ascii="Calibri" w:eastAsia="Times New Roman" w:hAnsi="Calibri" w:cs="Times New Roman"/>
                <w:b/>
                <w:bCs/>
                <w:color w:val="FFFFFF"/>
                <w:sz w:val="24"/>
                <w:szCs w:val="24"/>
                <w:lang w:eastAsia="en-GB"/>
              </w:rPr>
            </w:pPr>
            <w:r w:rsidRPr="00627CF2">
              <w:rPr>
                <w:rFonts w:ascii="Calibri" w:eastAsia="Times New Roman" w:hAnsi="Calibri" w:cs="Times New Roman"/>
                <w:b/>
                <w:bCs/>
                <w:color w:val="FFFFFF"/>
                <w:sz w:val="24"/>
                <w:szCs w:val="24"/>
                <w:lang w:eastAsia="en-GB"/>
              </w:rPr>
              <w:t>4. Monitoring</w:t>
            </w:r>
          </w:p>
        </w:tc>
      </w:tr>
      <w:tr w:rsidR="00627CF2" w:rsidRPr="00627CF2" w:rsidTr="00627CF2">
        <w:trPr>
          <w:trHeight w:val="525"/>
          <w:tblHeader/>
        </w:trPr>
        <w:tc>
          <w:tcPr>
            <w:tcW w:w="818" w:type="dxa"/>
            <w:vMerge w:val="restart"/>
            <w:tcBorders>
              <w:top w:val="nil"/>
              <w:left w:val="single" w:sz="8" w:space="0" w:color="auto"/>
              <w:bottom w:val="single" w:sz="4" w:space="0" w:color="auto"/>
              <w:right w:val="single" w:sz="4" w:space="0" w:color="auto"/>
            </w:tcBorders>
            <w:shd w:val="clear" w:color="000000" w:fill="93CDDD"/>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Risk No</w:t>
            </w:r>
          </w:p>
        </w:tc>
        <w:tc>
          <w:tcPr>
            <w:tcW w:w="2586" w:type="dxa"/>
            <w:vMerge w:val="restart"/>
            <w:tcBorders>
              <w:top w:val="nil"/>
              <w:left w:val="single" w:sz="4" w:space="0" w:color="auto"/>
              <w:bottom w:val="single" w:sz="4" w:space="0" w:color="auto"/>
              <w:right w:val="single" w:sz="4" w:space="0" w:color="auto"/>
            </w:tcBorders>
            <w:shd w:val="clear" w:color="000000" w:fill="93CDDD"/>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Risk Description</w:t>
            </w:r>
          </w:p>
        </w:tc>
        <w:tc>
          <w:tcPr>
            <w:tcW w:w="1568" w:type="dxa"/>
            <w:vMerge w:val="restart"/>
            <w:tcBorders>
              <w:top w:val="nil"/>
              <w:left w:val="single" w:sz="4" w:space="0" w:color="auto"/>
              <w:bottom w:val="single" w:sz="4" w:space="0" w:color="auto"/>
              <w:right w:val="single" w:sz="4" w:space="0" w:color="auto"/>
            </w:tcBorders>
            <w:shd w:val="clear" w:color="000000" w:fill="93CDDD"/>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Financial / Non-Financial / Unquantifiable</w:t>
            </w:r>
          </w:p>
        </w:tc>
        <w:tc>
          <w:tcPr>
            <w:tcW w:w="1399" w:type="dxa"/>
            <w:tcBorders>
              <w:top w:val="nil"/>
              <w:left w:val="nil"/>
              <w:bottom w:val="single" w:sz="4" w:space="0" w:color="auto"/>
              <w:right w:val="single" w:sz="4" w:space="0" w:color="auto"/>
            </w:tcBorders>
            <w:shd w:val="clear" w:color="000000" w:fill="93CDDD"/>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Consequence</w:t>
            </w:r>
          </w:p>
        </w:tc>
        <w:tc>
          <w:tcPr>
            <w:tcW w:w="1288" w:type="dxa"/>
            <w:tcBorders>
              <w:top w:val="nil"/>
              <w:left w:val="nil"/>
              <w:bottom w:val="single" w:sz="4" w:space="0" w:color="auto"/>
              <w:right w:val="single" w:sz="4" w:space="0" w:color="auto"/>
            </w:tcBorders>
            <w:shd w:val="clear" w:color="000000" w:fill="93CDDD"/>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Likelihood</w:t>
            </w:r>
          </w:p>
        </w:tc>
        <w:tc>
          <w:tcPr>
            <w:tcW w:w="854" w:type="dxa"/>
            <w:vMerge w:val="restart"/>
            <w:tcBorders>
              <w:top w:val="nil"/>
              <w:left w:val="single" w:sz="4" w:space="0" w:color="auto"/>
              <w:bottom w:val="single" w:sz="4" w:space="0" w:color="auto"/>
              <w:right w:val="single" w:sz="4" w:space="0" w:color="auto"/>
            </w:tcBorders>
            <w:shd w:val="clear" w:color="000000" w:fill="93CDDD"/>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Risk</w:t>
            </w:r>
          </w:p>
        </w:tc>
        <w:tc>
          <w:tcPr>
            <w:tcW w:w="2674" w:type="dxa"/>
            <w:vMerge w:val="restart"/>
            <w:tcBorders>
              <w:top w:val="nil"/>
              <w:left w:val="single" w:sz="4" w:space="0" w:color="auto"/>
              <w:bottom w:val="single" w:sz="4" w:space="0" w:color="auto"/>
              <w:right w:val="single" w:sz="4" w:space="0" w:color="auto"/>
            </w:tcBorders>
            <w:shd w:val="clear" w:color="000000" w:fill="93CDDD"/>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Proposed Treatment / Mitigation</w:t>
            </w:r>
          </w:p>
        </w:tc>
        <w:tc>
          <w:tcPr>
            <w:tcW w:w="1567" w:type="dxa"/>
            <w:vMerge w:val="restart"/>
            <w:tcBorders>
              <w:top w:val="nil"/>
              <w:left w:val="single" w:sz="4" w:space="0" w:color="auto"/>
              <w:bottom w:val="single" w:sz="4" w:space="0" w:color="auto"/>
              <w:right w:val="single" w:sz="4" w:space="0" w:color="auto"/>
            </w:tcBorders>
            <w:shd w:val="clear" w:color="000000" w:fill="93CDDD"/>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Action Taken</w:t>
            </w:r>
          </w:p>
        </w:tc>
        <w:tc>
          <w:tcPr>
            <w:tcW w:w="1960" w:type="dxa"/>
            <w:gridSpan w:val="2"/>
            <w:tcBorders>
              <w:top w:val="single" w:sz="4" w:space="0" w:color="auto"/>
              <w:left w:val="nil"/>
              <w:bottom w:val="single" w:sz="4" w:space="0" w:color="auto"/>
              <w:right w:val="single" w:sz="8" w:space="0" w:color="000000"/>
            </w:tcBorders>
            <w:shd w:val="clear" w:color="000000" w:fill="93CDDD"/>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Risk Owner</w:t>
            </w:r>
          </w:p>
        </w:tc>
      </w:tr>
      <w:tr w:rsidR="00627CF2" w:rsidRPr="00627CF2" w:rsidTr="00627CF2">
        <w:trPr>
          <w:trHeight w:val="390"/>
          <w:tblHeader/>
        </w:trPr>
        <w:tc>
          <w:tcPr>
            <w:tcW w:w="818" w:type="dxa"/>
            <w:vMerge/>
            <w:tcBorders>
              <w:top w:val="nil"/>
              <w:left w:val="single" w:sz="8" w:space="0" w:color="auto"/>
              <w:bottom w:val="single" w:sz="4" w:space="0" w:color="auto"/>
              <w:right w:val="single" w:sz="4" w:space="0" w:color="auto"/>
            </w:tcBorders>
            <w:vAlign w:val="center"/>
            <w:hideMark/>
          </w:tcPr>
          <w:p w:rsidR="00627CF2" w:rsidRPr="00627CF2" w:rsidRDefault="00627CF2" w:rsidP="00627CF2">
            <w:pPr>
              <w:spacing w:after="0" w:line="240" w:lineRule="auto"/>
              <w:rPr>
                <w:rFonts w:ascii="Calibri" w:eastAsia="Times New Roman" w:hAnsi="Calibri" w:cs="Times New Roman"/>
                <w:b/>
                <w:bCs/>
                <w:color w:val="000000"/>
                <w:sz w:val="20"/>
                <w:szCs w:val="20"/>
                <w:lang w:eastAsia="en-GB"/>
              </w:rPr>
            </w:pPr>
          </w:p>
        </w:tc>
        <w:tc>
          <w:tcPr>
            <w:tcW w:w="2586" w:type="dxa"/>
            <w:vMerge/>
            <w:tcBorders>
              <w:top w:val="nil"/>
              <w:left w:val="single" w:sz="4" w:space="0" w:color="auto"/>
              <w:bottom w:val="single" w:sz="4" w:space="0" w:color="auto"/>
              <w:right w:val="single" w:sz="4" w:space="0" w:color="auto"/>
            </w:tcBorders>
            <w:vAlign w:val="center"/>
            <w:hideMark/>
          </w:tcPr>
          <w:p w:rsidR="00627CF2" w:rsidRPr="00627CF2" w:rsidRDefault="00627CF2" w:rsidP="00627CF2">
            <w:pPr>
              <w:spacing w:after="0" w:line="240" w:lineRule="auto"/>
              <w:rPr>
                <w:rFonts w:ascii="Calibri" w:eastAsia="Times New Roman" w:hAnsi="Calibri" w:cs="Times New Roman"/>
                <w:b/>
                <w:bCs/>
                <w:color w:val="000000"/>
                <w:sz w:val="20"/>
                <w:szCs w:val="20"/>
                <w:lang w:eastAsia="en-GB"/>
              </w:rPr>
            </w:pPr>
          </w:p>
        </w:tc>
        <w:tc>
          <w:tcPr>
            <w:tcW w:w="1568" w:type="dxa"/>
            <w:vMerge/>
            <w:tcBorders>
              <w:top w:val="nil"/>
              <w:left w:val="single" w:sz="4" w:space="0" w:color="auto"/>
              <w:bottom w:val="single" w:sz="4" w:space="0" w:color="auto"/>
              <w:right w:val="single" w:sz="4" w:space="0" w:color="auto"/>
            </w:tcBorders>
            <w:vAlign w:val="center"/>
            <w:hideMark/>
          </w:tcPr>
          <w:p w:rsidR="00627CF2" w:rsidRPr="00627CF2" w:rsidRDefault="00627CF2" w:rsidP="00627CF2">
            <w:pPr>
              <w:spacing w:after="0" w:line="240" w:lineRule="auto"/>
              <w:rPr>
                <w:rFonts w:ascii="Calibri" w:eastAsia="Times New Roman" w:hAnsi="Calibri" w:cs="Times New Roman"/>
                <w:b/>
                <w:bCs/>
                <w:color w:val="000000"/>
                <w:sz w:val="20"/>
                <w:szCs w:val="20"/>
                <w:lang w:eastAsia="en-GB"/>
              </w:rPr>
            </w:pPr>
          </w:p>
        </w:tc>
        <w:tc>
          <w:tcPr>
            <w:tcW w:w="1399" w:type="dxa"/>
            <w:tcBorders>
              <w:top w:val="nil"/>
              <w:left w:val="nil"/>
              <w:bottom w:val="single" w:sz="4" w:space="0" w:color="auto"/>
              <w:right w:val="single" w:sz="4" w:space="0" w:color="auto"/>
            </w:tcBorders>
            <w:shd w:val="clear" w:color="000000" w:fill="93CDDD"/>
            <w:noWrap/>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(1 - 5)</w:t>
            </w:r>
          </w:p>
        </w:tc>
        <w:tc>
          <w:tcPr>
            <w:tcW w:w="1288" w:type="dxa"/>
            <w:tcBorders>
              <w:top w:val="nil"/>
              <w:left w:val="nil"/>
              <w:bottom w:val="single" w:sz="4" w:space="0" w:color="auto"/>
              <w:right w:val="single" w:sz="4" w:space="0" w:color="auto"/>
            </w:tcBorders>
            <w:shd w:val="clear" w:color="000000" w:fill="93CDDD"/>
            <w:noWrap/>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(1 - 5)</w:t>
            </w:r>
          </w:p>
        </w:tc>
        <w:tc>
          <w:tcPr>
            <w:tcW w:w="854" w:type="dxa"/>
            <w:vMerge/>
            <w:tcBorders>
              <w:top w:val="nil"/>
              <w:left w:val="single" w:sz="4" w:space="0" w:color="auto"/>
              <w:bottom w:val="single" w:sz="4" w:space="0" w:color="auto"/>
              <w:right w:val="single" w:sz="4" w:space="0" w:color="auto"/>
            </w:tcBorders>
            <w:vAlign w:val="center"/>
            <w:hideMark/>
          </w:tcPr>
          <w:p w:rsidR="00627CF2" w:rsidRPr="00627CF2" w:rsidRDefault="00627CF2" w:rsidP="00627CF2">
            <w:pPr>
              <w:spacing w:after="0" w:line="240" w:lineRule="auto"/>
              <w:rPr>
                <w:rFonts w:ascii="Calibri" w:eastAsia="Times New Roman" w:hAnsi="Calibri" w:cs="Times New Roman"/>
                <w:b/>
                <w:bCs/>
                <w:color w:val="000000"/>
                <w:sz w:val="20"/>
                <w:szCs w:val="20"/>
                <w:lang w:eastAsia="en-GB"/>
              </w:rPr>
            </w:pPr>
          </w:p>
        </w:tc>
        <w:tc>
          <w:tcPr>
            <w:tcW w:w="2674" w:type="dxa"/>
            <w:vMerge/>
            <w:tcBorders>
              <w:top w:val="nil"/>
              <w:left w:val="single" w:sz="4" w:space="0" w:color="auto"/>
              <w:bottom w:val="single" w:sz="4" w:space="0" w:color="auto"/>
              <w:right w:val="single" w:sz="4" w:space="0" w:color="auto"/>
            </w:tcBorders>
            <w:vAlign w:val="center"/>
            <w:hideMark/>
          </w:tcPr>
          <w:p w:rsidR="00627CF2" w:rsidRPr="00627CF2" w:rsidRDefault="00627CF2" w:rsidP="00627CF2">
            <w:pPr>
              <w:spacing w:after="0" w:line="240" w:lineRule="auto"/>
              <w:rPr>
                <w:rFonts w:ascii="Calibri" w:eastAsia="Times New Roman" w:hAnsi="Calibri" w:cs="Times New Roman"/>
                <w:b/>
                <w:bCs/>
                <w:color w:val="000000"/>
                <w:sz w:val="20"/>
                <w:szCs w:val="20"/>
                <w:lang w:eastAsia="en-GB"/>
              </w:rPr>
            </w:pPr>
          </w:p>
        </w:tc>
        <w:tc>
          <w:tcPr>
            <w:tcW w:w="1567" w:type="dxa"/>
            <w:vMerge/>
            <w:tcBorders>
              <w:top w:val="nil"/>
              <w:left w:val="single" w:sz="4" w:space="0" w:color="auto"/>
              <w:bottom w:val="single" w:sz="4" w:space="0" w:color="auto"/>
              <w:right w:val="single" w:sz="4" w:space="0" w:color="auto"/>
            </w:tcBorders>
            <w:vAlign w:val="center"/>
            <w:hideMark/>
          </w:tcPr>
          <w:p w:rsidR="00627CF2" w:rsidRPr="00627CF2" w:rsidRDefault="00627CF2" w:rsidP="00627CF2">
            <w:pPr>
              <w:spacing w:after="0" w:line="240" w:lineRule="auto"/>
              <w:rPr>
                <w:rFonts w:ascii="Calibri" w:eastAsia="Times New Roman" w:hAnsi="Calibri" w:cs="Times New Roman"/>
                <w:b/>
                <w:bCs/>
                <w:color w:val="000000"/>
                <w:sz w:val="20"/>
                <w:szCs w:val="20"/>
                <w:lang w:eastAsia="en-GB"/>
              </w:rPr>
            </w:pPr>
          </w:p>
        </w:tc>
        <w:tc>
          <w:tcPr>
            <w:tcW w:w="910" w:type="dxa"/>
            <w:tcBorders>
              <w:top w:val="nil"/>
              <w:left w:val="nil"/>
              <w:bottom w:val="single" w:sz="4" w:space="0" w:color="auto"/>
              <w:right w:val="single" w:sz="4" w:space="0" w:color="auto"/>
            </w:tcBorders>
            <w:shd w:val="clear" w:color="000000" w:fill="93CDDD"/>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Type</w:t>
            </w:r>
          </w:p>
        </w:tc>
        <w:tc>
          <w:tcPr>
            <w:tcW w:w="1050" w:type="dxa"/>
            <w:tcBorders>
              <w:top w:val="nil"/>
              <w:left w:val="nil"/>
              <w:bottom w:val="single" w:sz="4" w:space="0" w:color="auto"/>
              <w:right w:val="single" w:sz="8" w:space="0" w:color="auto"/>
            </w:tcBorders>
            <w:shd w:val="clear" w:color="000000" w:fill="93CDDD"/>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Individual</w:t>
            </w:r>
          </w:p>
        </w:tc>
      </w:tr>
      <w:tr w:rsidR="00627CF2" w:rsidRPr="00627CF2" w:rsidTr="00627CF2">
        <w:trPr>
          <w:trHeight w:val="465"/>
        </w:trPr>
        <w:tc>
          <w:tcPr>
            <w:tcW w:w="4972" w:type="dxa"/>
            <w:gridSpan w:val="3"/>
            <w:tcBorders>
              <w:top w:val="single" w:sz="4" w:space="0" w:color="auto"/>
              <w:left w:val="single" w:sz="8" w:space="0" w:color="auto"/>
              <w:bottom w:val="single" w:sz="4" w:space="0" w:color="auto"/>
              <w:right w:val="single" w:sz="4" w:space="0" w:color="000000"/>
            </w:tcBorders>
            <w:shd w:val="clear" w:color="000000" w:fill="FFFF66"/>
            <w:noWrap/>
            <w:vAlign w:val="center"/>
            <w:hideMark/>
          </w:tcPr>
          <w:p w:rsidR="00627CF2" w:rsidRPr="00627CF2" w:rsidRDefault="00627CF2" w:rsidP="00627CF2">
            <w:pPr>
              <w:spacing w:after="0" w:line="240" w:lineRule="auto"/>
              <w:rPr>
                <w:rFonts w:ascii="Calibri" w:eastAsia="Times New Roman" w:hAnsi="Calibri" w:cs="Times New Roman"/>
                <w:b/>
                <w:bCs/>
                <w:color w:val="000000"/>
                <w:sz w:val="28"/>
                <w:szCs w:val="28"/>
                <w:lang w:eastAsia="en-GB"/>
              </w:rPr>
            </w:pPr>
            <w:r w:rsidRPr="00627CF2">
              <w:rPr>
                <w:rFonts w:ascii="Calibri" w:eastAsia="Times New Roman" w:hAnsi="Calibri" w:cs="Times New Roman"/>
                <w:b/>
                <w:bCs/>
                <w:color w:val="000000"/>
                <w:sz w:val="28"/>
                <w:szCs w:val="28"/>
                <w:lang w:eastAsia="en-GB"/>
              </w:rPr>
              <w:t>CLIENT / BUSINESS RISKS</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b/>
                <w:bCs/>
                <w:color w:val="000000"/>
                <w:sz w:val="28"/>
                <w:szCs w:val="28"/>
                <w:lang w:eastAsia="en-GB"/>
              </w:rPr>
            </w:pPr>
            <w:r w:rsidRPr="00627CF2">
              <w:rPr>
                <w:rFonts w:ascii="Calibri" w:eastAsia="Times New Roman" w:hAnsi="Calibri" w:cs="Times New Roman"/>
                <w:b/>
                <w:bCs/>
                <w:color w:val="000000"/>
                <w:sz w:val="28"/>
                <w:szCs w:val="28"/>
                <w:lang w:eastAsia="en-GB"/>
              </w:rPr>
              <w:t> </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255"/>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1.0</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Business risk</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1020"/>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1.</w:t>
            </w:r>
            <w:r w:rsidR="003D1EBB">
              <w:rPr>
                <w:rFonts w:ascii="Calibri" w:eastAsia="Times New Roman" w:hAnsi="Calibri" w:cs="Times New Roman"/>
                <w:color w:val="000000"/>
                <w:sz w:val="20"/>
                <w:szCs w:val="20"/>
                <w:lang w:eastAsia="en-GB"/>
              </w:rPr>
              <w:t>5</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A safe environment for staff, patients and visitors is not maintained during the course of the project</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En</w:t>
            </w:r>
            <w:r w:rsidR="00C44724">
              <w:rPr>
                <w:rFonts w:ascii="Calibri" w:eastAsia="Times New Roman" w:hAnsi="Calibri" w:cs="Times New Roman"/>
                <w:color w:val="000000"/>
                <w:sz w:val="20"/>
                <w:szCs w:val="20"/>
                <w:lang w:eastAsia="en-GB"/>
              </w:rPr>
              <w:t>s</w:t>
            </w:r>
            <w:r w:rsidRPr="00627CF2">
              <w:rPr>
                <w:rFonts w:ascii="Calibri" w:eastAsia="Times New Roman" w:hAnsi="Calibri" w:cs="Times New Roman"/>
                <w:color w:val="000000"/>
                <w:sz w:val="20"/>
                <w:szCs w:val="20"/>
                <w:lang w:eastAsia="en-GB"/>
              </w:rPr>
              <w:t>ure that an appropriate health &amp; safety plan is developed in line with CDM regulations etc</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1020"/>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1.</w:t>
            </w:r>
            <w:r w:rsidR="003D1EBB">
              <w:rPr>
                <w:rFonts w:ascii="Calibri" w:eastAsia="Times New Roman" w:hAnsi="Calibri" w:cs="Times New Roman"/>
                <w:color w:val="000000"/>
                <w:sz w:val="20"/>
                <w:szCs w:val="20"/>
                <w:lang w:eastAsia="en-GB"/>
              </w:rPr>
              <w:t>6</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A safe clinical environment is not maintained during the course of the project</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xml:space="preserve">Ensure that the health &amp; safety plan </w:t>
            </w:r>
            <w:r w:rsidR="00C44724" w:rsidRPr="00627CF2">
              <w:rPr>
                <w:rFonts w:ascii="Calibri" w:eastAsia="Times New Roman" w:hAnsi="Calibri" w:cs="Times New Roman"/>
                <w:color w:val="000000"/>
                <w:sz w:val="20"/>
                <w:szCs w:val="20"/>
                <w:lang w:eastAsia="en-GB"/>
              </w:rPr>
              <w:t>incorporates</w:t>
            </w:r>
            <w:r w:rsidRPr="00627CF2">
              <w:rPr>
                <w:rFonts w:ascii="Calibri" w:eastAsia="Times New Roman" w:hAnsi="Calibri" w:cs="Times New Roman"/>
                <w:color w:val="000000"/>
                <w:sz w:val="20"/>
                <w:szCs w:val="20"/>
                <w:lang w:eastAsia="en-GB"/>
              </w:rPr>
              <w:t xml:space="preserve"> issues related to infection control and clinical governance</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255"/>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2.0</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Reputational risk</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255"/>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3.0</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Demand risk</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C44724">
        <w:trPr>
          <w:trHeight w:val="1932"/>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3.2</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Demand for accommodation does not match the levels planned, projected or presumed</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C44724">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Ensure that service demand assumptions are closely link with accommodation needs, and that there is sufficient flexibility in the arrangements to meet reasonable variations in demand</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255"/>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4.0</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Occupancy risk</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C44724">
        <w:trPr>
          <w:trHeight w:val="2004"/>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4.1</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The accommodation remains empty following completion of works</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Ensure that the operational commissioning plan is aligned with any construction programme and that service move arrangements are in place and ready to move at the appropriate time</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255"/>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lastRenderedPageBreak/>
              <w:t>5.0</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Operational risk</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1530"/>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5.2</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Service provision or performance is below that contracted or normally expected</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xml:space="preserve">Where service performance is linked to contractual arrangements then </w:t>
            </w:r>
            <w:r w:rsidR="00C44724" w:rsidRPr="00627CF2">
              <w:rPr>
                <w:rFonts w:ascii="Calibri" w:eastAsia="Times New Roman" w:hAnsi="Calibri" w:cs="Times New Roman"/>
                <w:color w:val="000000"/>
                <w:sz w:val="20"/>
                <w:szCs w:val="20"/>
                <w:lang w:eastAsia="en-GB"/>
              </w:rPr>
              <w:t>appropriate</w:t>
            </w:r>
            <w:r w:rsidRPr="00627CF2">
              <w:rPr>
                <w:rFonts w:ascii="Calibri" w:eastAsia="Times New Roman" w:hAnsi="Calibri" w:cs="Times New Roman"/>
                <w:color w:val="000000"/>
                <w:sz w:val="20"/>
                <w:szCs w:val="20"/>
                <w:lang w:eastAsia="en-GB"/>
              </w:rPr>
              <w:t xml:space="preserve"> monitoring arrangements need to be set out along with service change proposals</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1020"/>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5.3</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Operating service costs are higher than budgeted</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Set out proposals for monitoring service costs, with contingency plans if costs begin to rise above budget projections</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1275"/>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5.4</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New service model cannot be implemented</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A service change plan should be developed which is closely aligned to the design development process and implementation of the project</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1966"/>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5.5</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Plans for service integration between different providers or organisations is not achieved</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C44724">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xml:space="preserve">The project's service change plan </w:t>
            </w:r>
            <w:r w:rsidR="00C44724">
              <w:rPr>
                <w:rFonts w:ascii="Calibri" w:eastAsia="Times New Roman" w:hAnsi="Calibri" w:cs="Times New Roman"/>
                <w:color w:val="000000"/>
                <w:sz w:val="20"/>
                <w:szCs w:val="20"/>
                <w:lang w:eastAsia="en-GB"/>
              </w:rPr>
              <w:t>should</w:t>
            </w:r>
            <w:r w:rsidRPr="00627CF2">
              <w:rPr>
                <w:rFonts w:ascii="Calibri" w:eastAsia="Times New Roman" w:hAnsi="Calibri" w:cs="Times New Roman"/>
                <w:color w:val="000000"/>
                <w:sz w:val="20"/>
                <w:szCs w:val="20"/>
                <w:lang w:eastAsia="en-GB"/>
              </w:rPr>
              <w:t xml:space="preserve"> incorporate, where required, consultation between the various service providers on proposed new working arrangements</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255"/>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6.0</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Decant risk</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1687"/>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6.2</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Lack of available decant space impacts on service provision</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xml:space="preserve">The availability of decant space should be identified at OBC stage and confirmed at FBC stage </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255"/>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lastRenderedPageBreak/>
              <w:t>7.0</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Technology risk</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1020"/>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7.1</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Changes in technology result in services being provided using non-optimal technology</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Opportunities to take advantage of potential future technology advances should be explored as part of the OBC</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375"/>
        </w:trPr>
        <w:tc>
          <w:tcPr>
            <w:tcW w:w="4972" w:type="dxa"/>
            <w:gridSpan w:val="3"/>
            <w:tcBorders>
              <w:top w:val="single" w:sz="4" w:space="0" w:color="auto"/>
              <w:left w:val="single" w:sz="8" w:space="0" w:color="auto"/>
              <w:bottom w:val="single" w:sz="4" w:space="0" w:color="auto"/>
              <w:right w:val="single" w:sz="4" w:space="0" w:color="000000"/>
            </w:tcBorders>
            <w:shd w:val="clear" w:color="000000" w:fill="FFFF66"/>
            <w:noWrap/>
            <w:vAlign w:val="center"/>
            <w:hideMark/>
          </w:tcPr>
          <w:p w:rsidR="00627CF2" w:rsidRPr="00627CF2" w:rsidRDefault="00627CF2" w:rsidP="00627CF2">
            <w:pPr>
              <w:spacing w:after="0" w:line="240" w:lineRule="auto"/>
              <w:rPr>
                <w:rFonts w:ascii="Calibri" w:eastAsia="Times New Roman" w:hAnsi="Calibri" w:cs="Times New Roman"/>
                <w:b/>
                <w:bCs/>
                <w:color w:val="000000"/>
                <w:sz w:val="28"/>
                <w:szCs w:val="28"/>
                <w:lang w:eastAsia="en-GB"/>
              </w:rPr>
            </w:pPr>
            <w:r w:rsidRPr="00627CF2">
              <w:rPr>
                <w:rFonts w:ascii="Calibri" w:eastAsia="Times New Roman" w:hAnsi="Calibri" w:cs="Times New Roman"/>
                <w:b/>
                <w:bCs/>
                <w:color w:val="000000"/>
                <w:sz w:val="28"/>
                <w:szCs w:val="28"/>
                <w:lang w:eastAsia="en-GB"/>
              </w:rPr>
              <w:t>PLANNING &amp; DESIGN RISKS</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b/>
                <w:bCs/>
                <w:color w:val="000000"/>
                <w:sz w:val="28"/>
                <w:szCs w:val="28"/>
                <w:lang w:eastAsia="en-GB"/>
              </w:rPr>
            </w:pPr>
            <w:r w:rsidRPr="00627CF2">
              <w:rPr>
                <w:rFonts w:ascii="Calibri" w:eastAsia="Times New Roman" w:hAnsi="Calibri" w:cs="Times New Roman"/>
                <w:b/>
                <w:bCs/>
                <w:color w:val="000000"/>
                <w:sz w:val="28"/>
                <w:szCs w:val="28"/>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b/>
                <w:bCs/>
                <w:color w:val="000000"/>
                <w:sz w:val="28"/>
                <w:szCs w:val="28"/>
                <w:lang w:eastAsia="en-GB"/>
              </w:rPr>
            </w:pPr>
            <w:r w:rsidRPr="00627CF2">
              <w:rPr>
                <w:rFonts w:ascii="Calibri" w:eastAsia="Times New Roman" w:hAnsi="Calibri" w:cs="Times New Roman"/>
                <w:b/>
                <w:bCs/>
                <w:color w:val="000000"/>
                <w:sz w:val="28"/>
                <w:szCs w:val="28"/>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b/>
                <w:bCs/>
                <w:color w:val="000000"/>
                <w:sz w:val="28"/>
                <w:szCs w:val="28"/>
                <w:lang w:eastAsia="en-GB"/>
              </w:rPr>
            </w:pPr>
            <w:r w:rsidRPr="00627CF2">
              <w:rPr>
                <w:rFonts w:ascii="Calibri" w:eastAsia="Times New Roman" w:hAnsi="Calibri" w:cs="Times New Roman"/>
                <w:b/>
                <w:bCs/>
                <w:color w:val="000000"/>
                <w:sz w:val="28"/>
                <w:szCs w:val="28"/>
                <w:lang w:eastAsia="en-GB"/>
              </w:rPr>
              <w:t> </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255"/>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8.0</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Planning risk</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1275"/>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8.2</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Progress with Planning Approval takes longer than planned</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The project programme should consider the complexity of design and any planning risks when projecting a reasonable time period for this stage</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1020"/>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8.3</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Progress with other regulatory body approvals takes longer than planned</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The project programme should consider the complexity of design when projecting a reasonable time period for this stage</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1530"/>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8.4</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Requirements of Planning or Statutory consents result in an increase to project scope/requirements</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The planning authority should be engaged at an early stage once design proposals are formed to understand any planning constraints or further planning expectations</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1275"/>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8.5</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Planning constraints delay project progress and thus increase costs</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The project programme should consider the complexity of design and any planning risks when projecting a reasonable time period for this stage</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1710"/>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lastRenderedPageBreak/>
              <w:t>8.6</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There are objections to the use of the proposed site</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A full site feasibility report should be prepared when potential new sites are being considered, which includes consultation on local community support for the proposed use of each site</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255"/>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9.0</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Project information risk</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1530"/>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9.2</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The client's project brief is lacking in the required information or is insufficient</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A project brief should be fully developed as the project reaches OBC stage and before FBC stage.  This should be further tested as part of the business case approval process</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1785"/>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9.3</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Inadequate depth of surveying of site</w:t>
            </w:r>
            <w:r w:rsidR="0089178C">
              <w:rPr>
                <w:rFonts w:ascii="Calibri" w:eastAsia="Times New Roman" w:hAnsi="Calibri" w:cs="Times New Roman"/>
                <w:color w:val="000000"/>
                <w:sz w:val="20"/>
                <w:szCs w:val="20"/>
                <w:lang w:eastAsia="en-GB"/>
              </w:rPr>
              <w:t xml:space="preserve"> constraint </w:t>
            </w:r>
            <w:r w:rsidRPr="00627CF2">
              <w:rPr>
                <w:rFonts w:ascii="Calibri" w:eastAsia="Times New Roman" w:hAnsi="Calibri" w:cs="Times New Roman"/>
                <w:color w:val="000000"/>
                <w:sz w:val="20"/>
                <w:szCs w:val="20"/>
                <w:lang w:eastAsia="en-GB"/>
              </w:rPr>
              <w:t>/</w:t>
            </w:r>
            <w:r w:rsidR="0089178C">
              <w:rPr>
                <w:rFonts w:ascii="Calibri" w:eastAsia="Times New Roman" w:hAnsi="Calibri" w:cs="Times New Roman"/>
                <w:color w:val="000000"/>
                <w:sz w:val="20"/>
                <w:szCs w:val="20"/>
                <w:lang w:eastAsia="en-GB"/>
              </w:rPr>
              <w:t xml:space="preserve"> </w:t>
            </w:r>
            <w:r w:rsidRPr="00627CF2">
              <w:rPr>
                <w:rFonts w:ascii="Calibri" w:eastAsia="Times New Roman" w:hAnsi="Calibri" w:cs="Times New Roman"/>
                <w:color w:val="000000"/>
                <w:sz w:val="20"/>
                <w:szCs w:val="20"/>
                <w:lang w:eastAsia="en-GB"/>
              </w:rPr>
              <w:t>ground information</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xml:space="preserve">The need for site </w:t>
            </w:r>
            <w:r w:rsidR="0089178C">
              <w:rPr>
                <w:rFonts w:ascii="Calibri" w:eastAsia="Times New Roman" w:hAnsi="Calibri" w:cs="Times New Roman"/>
                <w:color w:val="000000"/>
                <w:sz w:val="20"/>
                <w:szCs w:val="20"/>
                <w:lang w:eastAsia="en-GB"/>
              </w:rPr>
              <w:t xml:space="preserve">constraint </w:t>
            </w:r>
            <w:r w:rsidRPr="00627CF2">
              <w:rPr>
                <w:rFonts w:ascii="Calibri" w:eastAsia="Times New Roman" w:hAnsi="Calibri" w:cs="Times New Roman"/>
                <w:color w:val="000000"/>
                <w:sz w:val="20"/>
                <w:szCs w:val="20"/>
                <w:lang w:eastAsia="en-GB"/>
              </w:rPr>
              <w:t>/ ground investigation information should be considered at OBC stage where there is a risk to the project budget, and a detailed investigation carried out during the FBC stage</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255"/>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10.0</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Design risk</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1530"/>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10.2</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The design team does not have sufficient capacity or capability for the project</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The capacity and capability of the design team should be fully explored by the client and contractor during the procurement stage, and evidenced in the project's OBC</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1275"/>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lastRenderedPageBreak/>
              <w:t>10.3</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Client requirements regularly change throughout the duration of the project</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xml:space="preserve">The client's project brief should be fully explored and confirmed during the OBC stage and prior to any in-depth design development work </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1275"/>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10.4</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The design isn't capable of delivering the services to the required performance or quality standards</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The quality and appropriateness of design should be fully explored with all stakeholders as part of the design development process</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1530"/>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10.5</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Service providers or users cannot agree the project brief</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A design consultation / stakeholder engagement plan should be developed to minimise confusion or disagreements between service providers and users</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1275"/>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10.6</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The design does not meet the Design Assessment expectations</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xml:space="preserve">The design team need to engage </w:t>
            </w:r>
            <w:r w:rsidR="00C44724" w:rsidRPr="00627CF2">
              <w:rPr>
                <w:rFonts w:ascii="Calibri" w:eastAsia="Times New Roman" w:hAnsi="Calibri" w:cs="Times New Roman"/>
                <w:color w:val="000000"/>
                <w:sz w:val="20"/>
                <w:szCs w:val="20"/>
                <w:lang w:eastAsia="en-GB"/>
              </w:rPr>
              <w:t>with</w:t>
            </w:r>
            <w:r w:rsidRPr="00627CF2">
              <w:rPr>
                <w:rFonts w:ascii="Calibri" w:eastAsia="Times New Roman" w:hAnsi="Calibri" w:cs="Times New Roman"/>
                <w:color w:val="000000"/>
                <w:sz w:val="20"/>
                <w:szCs w:val="20"/>
                <w:lang w:eastAsia="en-GB"/>
              </w:rPr>
              <w:t xml:space="preserve"> the Design Assessment team from early design planning stages onwards to avoid confusion over expectations</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1275"/>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10.7</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The complexity or innovative nature of design is difficult to implement</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xml:space="preserve">Ambitions for complexity of design should be balanced with the design team and contractor's capabilities to implement such designs </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1530"/>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10.8</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There is insufficient car parking for the number of occupants and their service users</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A traffic management plan should be developed as part of the project brief at OBC stage which also considers the appropriate number of car parking spaces required</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375"/>
        </w:trPr>
        <w:tc>
          <w:tcPr>
            <w:tcW w:w="4972" w:type="dxa"/>
            <w:gridSpan w:val="3"/>
            <w:tcBorders>
              <w:top w:val="single" w:sz="4" w:space="0" w:color="auto"/>
              <w:left w:val="single" w:sz="8" w:space="0" w:color="auto"/>
              <w:bottom w:val="single" w:sz="4" w:space="0" w:color="auto"/>
              <w:right w:val="single" w:sz="4" w:space="0" w:color="000000"/>
            </w:tcBorders>
            <w:shd w:val="clear" w:color="000000" w:fill="FFFF66"/>
            <w:noWrap/>
            <w:vAlign w:val="center"/>
            <w:hideMark/>
          </w:tcPr>
          <w:p w:rsidR="00627CF2" w:rsidRPr="00627CF2" w:rsidRDefault="00627CF2" w:rsidP="00627CF2">
            <w:pPr>
              <w:spacing w:after="0" w:line="240" w:lineRule="auto"/>
              <w:rPr>
                <w:rFonts w:ascii="Calibri" w:eastAsia="Times New Roman" w:hAnsi="Calibri" w:cs="Times New Roman"/>
                <w:b/>
                <w:bCs/>
                <w:color w:val="000000"/>
                <w:sz w:val="28"/>
                <w:szCs w:val="28"/>
                <w:lang w:eastAsia="en-GB"/>
              </w:rPr>
            </w:pPr>
            <w:r w:rsidRPr="00627CF2">
              <w:rPr>
                <w:rFonts w:ascii="Calibri" w:eastAsia="Times New Roman" w:hAnsi="Calibri" w:cs="Times New Roman"/>
                <w:b/>
                <w:bCs/>
                <w:color w:val="000000"/>
                <w:sz w:val="28"/>
                <w:szCs w:val="28"/>
                <w:lang w:eastAsia="en-GB"/>
              </w:rPr>
              <w:lastRenderedPageBreak/>
              <w:t>CONSTRUCTION / PROPERTY RELATED RISKS</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b/>
                <w:bCs/>
                <w:color w:val="000000"/>
                <w:sz w:val="28"/>
                <w:szCs w:val="28"/>
                <w:lang w:eastAsia="en-GB"/>
              </w:rPr>
            </w:pPr>
            <w:r w:rsidRPr="00627CF2">
              <w:rPr>
                <w:rFonts w:ascii="Calibri" w:eastAsia="Times New Roman" w:hAnsi="Calibri" w:cs="Times New Roman"/>
                <w:b/>
                <w:bCs/>
                <w:color w:val="000000"/>
                <w:sz w:val="28"/>
                <w:szCs w:val="28"/>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b/>
                <w:bCs/>
                <w:color w:val="000000"/>
                <w:sz w:val="28"/>
                <w:szCs w:val="28"/>
                <w:lang w:eastAsia="en-GB"/>
              </w:rPr>
            </w:pPr>
            <w:r w:rsidRPr="00627CF2">
              <w:rPr>
                <w:rFonts w:ascii="Calibri" w:eastAsia="Times New Roman" w:hAnsi="Calibri" w:cs="Times New Roman"/>
                <w:b/>
                <w:bCs/>
                <w:color w:val="000000"/>
                <w:sz w:val="28"/>
                <w:szCs w:val="28"/>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b/>
                <w:bCs/>
                <w:color w:val="000000"/>
                <w:sz w:val="28"/>
                <w:szCs w:val="28"/>
                <w:lang w:eastAsia="en-GB"/>
              </w:rPr>
            </w:pPr>
            <w:r w:rsidRPr="00627CF2">
              <w:rPr>
                <w:rFonts w:ascii="Calibri" w:eastAsia="Times New Roman" w:hAnsi="Calibri" w:cs="Times New Roman"/>
                <w:b/>
                <w:bCs/>
                <w:color w:val="000000"/>
                <w:sz w:val="28"/>
                <w:szCs w:val="28"/>
                <w:lang w:eastAsia="en-GB"/>
              </w:rPr>
              <w:t> </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255"/>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11.0</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Procurement risk</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1728"/>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11.1</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The contractor does not have sufficient capacity or capability to deliver the project</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The capacity and capability of the contractor should be fully explored by the client during the procurement stage, and evidenced in the project's OBC</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1678"/>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11.2</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The Contractor's involvement in the project is too late to impact on the design solution</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The contractor should be involved at an early stage in the design development in line with the appropriate procurement route recommendations</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1757"/>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11.3</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The project varies from standard contracts</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A statement explaining the reasons behind deviation from standard contract arrangements should be declared at OBC and confirmed at FBC</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2273"/>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11.4</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Disputes arise between client and contractor affecting project cost and time</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A partnering type arrangement should be developed whereby both client and contractor are aware of each other’s expectations from the project and a good working relationship is formed</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255"/>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lastRenderedPageBreak/>
              <w:t>12.0</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Construction risk</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1275"/>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12.2</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The construction project is poorly managed causing delays and cost overruns</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The capacity and capability of the project director and project manager should be fully evidenced in the project's OBC &amp; FBC</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813AFA">
        <w:trPr>
          <w:trHeight w:val="1992"/>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12.3</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Construction of the physical solution is not completed to time, budget or specification</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A construction based risk register should be developed and confirmed at FBC stage to minimise changes to programme, budget or specification</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255"/>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13.0</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Maintenance risk</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813AFA">
        <w:trPr>
          <w:trHeight w:val="1708"/>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13.</w:t>
            </w:r>
            <w:r w:rsidR="0089178C">
              <w:rPr>
                <w:rFonts w:ascii="Calibri" w:eastAsia="Times New Roman" w:hAnsi="Calibri" w:cs="Times New Roman"/>
                <w:color w:val="000000"/>
                <w:sz w:val="20"/>
                <w:szCs w:val="20"/>
                <w:lang w:eastAsia="en-GB"/>
              </w:rPr>
              <w:t>2</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Ongoing maintenance costs are higher than projected</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Expected maintenance costs should be discussed throughout the design development stage and subsequently monitored post completion</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375"/>
        </w:trPr>
        <w:tc>
          <w:tcPr>
            <w:tcW w:w="4972" w:type="dxa"/>
            <w:gridSpan w:val="3"/>
            <w:tcBorders>
              <w:top w:val="single" w:sz="4" w:space="0" w:color="auto"/>
              <w:left w:val="single" w:sz="8" w:space="0" w:color="auto"/>
              <w:bottom w:val="single" w:sz="4" w:space="0" w:color="auto"/>
              <w:right w:val="single" w:sz="4" w:space="0" w:color="000000"/>
            </w:tcBorders>
            <w:shd w:val="clear" w:color="000000" w:fill="FFFF66"/>
            <w:noWrap/>
            <w:vAlign w:val="center"/>
            <w:hideMark/>
          </w:tcPr>
          <w:p w:rsidR="00627CF2" w:rsidRPr="00627CF2" w:rsidRDefault="00627CF2" w:rsidP="00627CF2">
            <w:pPr>
              <w:spacing w:after="0" w:line="240" w:lineRule="auto"/>
              <w:rPr>
                <w:rFonts w:ascii="Calibri" w:eastAsia="Times New Roman" w:hAnsi="Calibri" w:cs="Times New Roman"/>
                <w:b/>
                <w:bCs/>
                <w:color w:val="000000"/>
                <w:sz w:val="28"/>
                <w:szCs w:val="28"/>
                <w:lang w:eastAsia="en-GB"/>
              </w:rPr>
            </w:pPr>
            <w:r w:rsidRPr="00627CF2">
              <w:rPr>
                <w:rFonts w:ascii="Calibri" w:eastAsia="Times New Roman" w:hAnsi="Calibri" w:cs="Times New Roman"/>
                <w:b/>
                <w:bCs/>
                <w:color w:val="000000"/>
                <w:sz w:val="28"/>
                <w:szCs w:val="28"/>
                <w:lang w:eastAsia="en-GB"/>
              </w:rPr>
              <w:t>FINANCE RISKS</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b/>
                <w:bCs/>
                <w:color w:val="000000"/>
                <w:sz w:val="28"/>
                <w:szCs w:val="28"/>
                <w:lang w:eastAsia="en-GB"/>
              </w:rPr>
            </w:pPr>
            <w:r w:rsidRPr="00627CF2">
              <w:rPr>
                <w:rFonts w:ascii="Calibri" w:eastAsia="Times New Roman" w:hAnsi="Calibri" w:cs="Times New Roman"/>
                <w:b/>
                <w:bCs/>
                <w:color w:val="000000"/>
                <w:sz w:val="28"/>
                <w:szCs w:val="28"/>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b/>
                <w:bCs/>
                <w:color w:val="000000"/>
                <w:sz w:val="28"/>
                <w:szCs w:val="28"/>
                <w:lang w:eastAsia="en-GB"/>
              </w:rPr>
            </w:pPr>
            <w:r w:rsidRPr="00627CF2">
              <w:rPr>
                <w:rFonts w:ascii="Calibri" w:eastAsia="Times New Roman" w:hAnsi="Calibri" w:cs="Times New Roman"/>
                <w:b/>
                <w:bCs/>
                <w:color w:val="000000"/>
                <w:sz w:val="28"/>
                <w:szCs w:val="28"/>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b/>
                <w:bCs/>
                <w:color w:val="000000"/>
                <w:sz w:val="28"/>
                <w:szCs w:val="28"/>
                <w:lang w:eastAsia="en-GB"/>
              </w:rPr>
            </w:pPr>
            <w:r w:rsidRPr="00627CF2">
              <w:rPr>
                <w:rFonts w:ascii="Calibri" w:eastAsia="Times New Roman" w:hAnsi="Calibri" w:cs="Times New Roman"/>
                <w:b/>
                <w:bCs/>
                <w:color w:val="000000"/>
                <w:sz w:val="28"/>
                <w:szCs w:val="28"/>
                <w:lang w:eastAsia="en-GB"/>
              </w:rPr>
              <w:t> </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255"/>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14.0</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Funding risk</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813AFA">
        <w:trPr>
          <w:trHeight w:val="1038"/>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353173" w:rsidP="00627CF2">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14.3</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xml:space="preserve">Additional funds are required to </w:t>
            </w:r>
            <w:r w:rsidR="00C44724" w:rsidRPr="00627CF2">
              <w:rPr>
                <w:rFonts w:ascii="Calibri" w:eastAsia="Times New Roman" w:hAnsi="Calibri" w:cs="Times New Roman"/>
                <w:color w:val="000000"/>
                <w:sz w:val="20"/>
                <w:szCs w:val="20"/>
                <w:lang w:eastAsia="en-GB"/>
              </w:rPr>
              <w:t>support</w:t>
            </w:r>
            <w:r w:rsidRPr="00627CF2">
              <w:rPr>
                <w:rFonts w:ascii="Calibri" w:eastAsia="Times New Roman" w:hAnsi="Calibri" w:cs="Times New Roman"/>
                <w:color w:val="000000"/>
                <w:sz w:val="20"/>
                <w:szCs w:val="20"/>
                <w:lang w:eastAsia="en-GB"/>
              </w:rPr>
              <w:t xml:space="preserve"> increased capital costs</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xml:space="preserve">The availability of contingency funds needs to be considered </w:t>
            </w:r>
            <w:r w:rsidR="00C44724">
              <w:rPr>
                <w:rFonts w:ascii="Calibri" w:eastAsia="Times New Roman" w:hAnsi="Calibri" w:cs="Times New Roman"/>
                <w:color w:val="000000"/>
                <w:sz w:val="20"/>
                <w:szCs w:val="20"/>
                <w:lang w:eastAsia="en-GB"/>
              </w:rPr>
              <w:t xml:space="preserve">at OBC </w:t>
            </w:r>
            <w:r w:rsidRPr="00627CF2">
              <w:rPr>
                <w:rFonts w:ascii="Calibri" w:eastAsia="Times New Roman" w:hAnsi="Calibri" w:cs="Times New Roman"/>
                <w:color w:val="000000"/>
                <w:sz w:val="20"/>
                <w:szCs w:val="20"/>
                <w:lang w:eastAsia="en-GB"/>
              </w:rPr>
              <w:t>and addressed as part of the FBC</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813AFA">
        <w:trPr>
          <w:trHeight w:val="1263"/>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353173" w:rsidP="00627CF2">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14.4</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Income receipts supporting the project are not as high as expected</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C44724">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Realistic market estimates need to be obtained if this is critical to project funding</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255"/>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lastRenderedPageBreak/>
              <w:t>15.0</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Residual value risk</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1020"/>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15.1</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There is uncertainty over the value of the physical asset at the end of the contract term</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A plan needs to be set out to regularly review the value of the physical asset during the contract term</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375"/>
        </w:trPr>
        <w:tc>
          <w:tcPr>
            <w:tcW w:w="4972" w:type="dxa"/>
            <w:gridSpan w:val="3"/>
            <w:tcBorders>
              <w:top w:val="single" w:sz="4" w:space="0" w:color="auto"/>
              <w:left w:val="single" w:sz="8" w:space="0" w:color="auto"/>
              <w:bottom w:val="single" w:sz="4" w:space="0" w:color="auto"/>
              <w:right w:val="single" w:sz="4" w:space="0" w:color="000000"/>
            </w:tcBorders>
            <w:shd w:val="clear" w:color="000000" w:fill="FFFF66"/>
            <w:noWrap/>
            <w:vAlign w:val="center"/>
            <w:hideMark/>
          </w:tcPr>
          <w:p w:rsidR="00627CF2" w:rsidRPr="00627CF2" w:rsidRDefault="00627CF2" w:rsidP="00627CF2">
            <w:pPr>
              <w:spacing w:after="0" w:line="240" w:lineRule="auto"/>
              <w:rPr>
                <w:rFonts w:ascii="Calibri" w:eastAsia="Times New Roman" w:hAnsi="Calibri" w:cs="Times New Roman"/>
                <w:b/>
                <w:bCs/>
                <w:color w:val="000000"/>
                <w:sz w:val="28"/>
                <w:szCs w:val="28"/>
                <w:lang w:eastAsia="en-GB"/>
              </w:rPr>
            </w:pPr>
            <w:r w:rsidRPr="00627CF2">
              <w:rPr>
                <w:rFonts w:ascii="Calibri" w:eastAsia="Times New Roman" w:hAnsi="Calibri" w:cs="Times New Roman"/>
                <w:b/>
                <w:bCs/>
                <w:color w:val="000000"/>
                <w:sz w:val="28"/>
                <w:szCs w:val="28"/>
                <w:lang w:eastAsia="en-GB"/>
              </w:rPr>
              <w:t>EXTERNAL RISKS</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b/>
                <w:bCs/>
                <w:color w:val="000000"/>
                <w:sz w:val="28"/>
                <w:szCs w:val="28"/>
                <w:lang w:eastAsia="en-GB"/>
              </w:rPr>
            </w:pPr>
            <w:r w:rsidRPr="00627CF2">
              <w:rPr>
                <w:rFonts w:ascii="Calibri" w:eastAsia="Times New Roman" w:hAnsi="Calibri" w:cs="Times New Roman"/>
                <w:b/>
                <w:bCs/>
                <w:color w:val="000000"/>
                <w:sz w:val="28"/>
                <w:szCs w:val="28"/>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b/>
                <w:bCs/>
                <w:color w:val="000000"/>
                <w:sz w:val="28"/>
                <w:szCs w:val="28"/>
                <w:lang w:eastAsia="en-GB"/>
              </w:rPr>
            </w:pPr>
            <w:r w:rsidRPr="00627CF2">
              <w:rPr>
                <w:rFonts w:ascii="Calibri" w:eastAsia="Times New Roman" w:hAnsi="Calibri" w:cs="Times New Roman"/>
                <w:b/>
                <w:bCs/>
                <w:color w:val="000000"/>
                <w:sz w:val="28"/>
                <w:szCs w:val="28"/>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b/>
                <w:bCs/>
                <w:color w:val="000000"/>
                <w:sz w:val="28"/>
                <w:szCs w:val="28"/>
                <w:lang w:eastAsia="en-GB"/>
              </w:rPr>
            </w:pPr>
            <w:r w:rsidRPr="00627CF2">
              <w:rPr>
                <w:rFonts w:ascii="Calibri" w:eastAsia="Times New Roman" w:hAnsi="Calibri" w:cs="Times New Roman"/>
                <w:b/>
                <w:bCs/>
                <w:color w:val="000000"/>
                <w:sz w:val="28"/>
                <w:szCs w:val="28"/>
                <w:lang w:eastAsia="en-GB"/>
              </w:rPr>
              <w:t> </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255"/>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16.0</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Economic risk</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627CF2" w:rsidRPr="00627CF2" w:rsidTr="00627CF2">
        <w:trPr>
          <w:trHeight w:val="255"/>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17.0</w:t>
            </w:r>
          </w:p>
        </w:tc>
        <w:tc>
          <w:tcPr>
            <w:tcW w:w="2586"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Legislative risk</w:t>
            </w:r>
          </w:p>
        </w:tc>
        <w:tc>
          <w:tcPr>
            <w:tcW w:w="1568"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567"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89178C" w:rsidRPr="00627CF2" w:rsidTr="00627CF2">
        <w:trPr>
          <w:trHeight w:val="255"/>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89178C" w:rsidRPr="0089178C" w:rsidRDefault="0089178C" w:rsidP="00627CF2">
            <w:pPr>
              <w:spacing w:after="0" w:line="240" w:lineRule="auto"/>
              <w:jc w:val="center"/>
              <w:rPr>
                <w:rFonts w:ascii="Calibri" w:eastAsia="Times New Roman" w:hAnsi="Calibri" w:cs="Times New Roman"/>
                <w:bCs/>
                <w:color w:val="000000"/>
                <w:sz w:val="20"/>
                <w:szCs w:val="20"/>
                <w:lang w:eastAsia="en-GB"/>
              </w:rPr>
            </w:pPr>
            <w:r w:rsidRPr="0089178C">
              <w:rPr>
                <w:rFonts w:ascii="Calibri" w:eastAsia="Times New Roman" w:hAnsi="Calibri" w:cs="Times New Roman"/>
                <w:bCs/>
                <w:color w:val="000000"/>
                <w:sz w:val="20"/>
                <w:szCs w:val="20"/>
                <w:lang w:eastAsia="en-GB"/>
              </w:rPr>
              <w:t>17.2</w:t>
            </w:r>
          </w:p>
        </w:tc>
        <w:tc>
          <w:tcPr>
            <w:tcW w:w="2586" w:type="dxa"/>
            <w:tcBorders>
              <w:top w:val="nil"/>
              <w:left w:val="nil"/>
              <w:bottom w:val="single" w:sz="4" w:space="0" w:color="auto"/>
              <w:right w:val="single" w:sz="4" w:space="0" w:color="auto"/>
            </w:tcBorders>
            <w:shd w:val="clear" w:color="auto" w:fill="auto"/>
            <w:vAlign w:val="center"/>
            <w:hideMark/>
          </w:tcPr>
          <w:p w:rsidR="0089178C" w:rsidRPr="0089178C" w:rsidRDefault="0089178C" w:rsidP="00627CF2">
            <w:pPr>
              <w:spacing w:after="0" w:line="240" w:lineRule="auto"/>
              <w:rPr>
                <w:rFonts w:ascii="Calibri" w:eastAsia="Times New Roman" w:hAnsi="Calibri" w:cs="Times New Roman"/>
                <w:bCs/>
                <w:color w:val="000000"/>
                <w:sz w:val="20"/>
                <w:szCs w:val="20"/>
                <w:lang w:eastAsia="en-GB"/>
              </w:rPr>
            </w:pPr>
            <w:r w:rsidRPr="0089178C">
              <w:rPr>
                <w:rFonts w:ascii="Calibri" w:eastAsia="Times New Roman" w:hAnsi="Calibri" w:cs="Times New Roman"/>
                <w:bCs/>
                <w:color w:val="000000"/>
                <w:sz w:val="20"/>
                <w:szCs w:val="20"/>
                <w:lang w:eastAsia="en-GB"/>
              </w:rPr>
              <w:t xml:space="preserve">Changes </w:t>
            </w:r>
            <w:r>
              <w:rPr>
                <w:rFonts w:ascii="Calibri" w:eastAsia="Times New Roman" w:hAnsi="Calibri" w:cs="Times New Roman"/>
                <w:bCs/>
                <w:color w:val="000000"/>
                <w:sz w:val="20"/>
                <w:szCs w:val="20"/>
                <w:lang w:eastAsia="en-GB"/>
              </w:rPr>
              <w:t>are made to clinical regulations or other related legislation</w:t>
            </w:r>
          </w:p>
        </w:tc>
        <w:tc>
          <w:tcPr>
            <w:tcW w:w="1568" w:type="dxa"/>
            <w:tcBorders>
              <w:top w:val="nil"/>
              <w:left w:val="nil"/>
              <w:bottom w:val="single" w:sz="4" w:space="0" w:color="auto"/>
              <w:right w:val="single" w:sz="4" w:space="0" w:color="auto"/>
            </w:tcBorders>
            <w:shd w:val="clear" w:color="auto" w:fill="auto"/>
            <w:vAlign w:val="center"/>
            <w:hideMark/>
          </w:tcPr>
          <w:p w:rsidR="0089178C" w:rsidRPr="00627CF2" w:rsidRDefault="0089178C" w:rsidP="00627CF2">
            <w:pPr>
              <w:spacing w:after="0" w:line="240" w:lineRule="auto"/>
              <w:jc w:val="center"/>
              <w:rPr>
                <w:rFonts w:ascii="Calibri" w:eastAsia="Times New Roman" w:hAnsi="Calibri" w:cs="Times New Roman"/>
                <w:b/>
                <w:bCs/>
                <w:color w:val="000000"/>
                <w:sz w:val="20"/>
                <w:szCs w:val="20"/>
                <w:lang w:eastAsia="en-GB"/>
              </w:rPr>
            </w:pPr>
          </w:p>
        </w:tc>
        <w:tc>
          <w:tcPr>
            <w:tcW w:w="1399" w:type="dxa"/>
            <w:tcBorders>
              <w:top w:val="nil"/>
              <w:left w:val="nil"/>
              <w:bottom w:val="single" w:sz="4" w:space="0" w:color="auto"/>
              <w:right w:val="single" w:sz="4" w:space="0" w:color="auto"/>
            </w:tcBorders>
            <w:shd w:val="clear" w:color="auto" w:fill="auto"/>
            <w:noWrap/>
            <w:vAlign w:val="center"/>
            <w:hideMark/>
          </w:tcPr>
          <w:p w:rsidR="0089178C" w:rsidRPr="00627CF2" w:rsidRDefault="0089178C" w:rsidP="00627CF2">
            <w:pPr>
              <w:spacing w:after="0" w:line="240" w:lineRule="auto"/>
              <w:jc w:val="center"/>
              <w:rPr>
                <w:rFonts w:ascii="Calibri" w:eastAsia="Times New Roman" w:hAnsi="Calibri" w:cs="Times New Roman"/>
                <w:color w:val="000000"/>
                <w:sz w:val="20"/>
                <w:szCs w:val="20"/>
                <w:lang w:eastAsia="en-GB"/>
              </w:rPr>
            </w:pPr>
          </w:p>
        </w:tc>
        <w:tc>
          <w:tcPr>
            <w:tcW w:w="1288" w:type="dxa"/>
            <w:tcBorders>
              <w:top w:val="nil"/>
              <w:left w:val="nil"/>
              <w:bottom w:val="single" w:sz="4" w:space="0" w:color="auto"/>
              <w:right w:val="single" w:sz="4" w:space="0" w:color="auto"/>
            </w:tcBorders>
            <w:shd w:val="clear" w:color="auto" w:fill="auto"/>
            <w:noWrap/>
            <w:vAlign w:val="center"/>
            <w:hideMark/>
          </w:tcPr>
          <w:p w:rsidR="0089178C" w:rsidRPr="00627CF2" w:rsidRDefault="0089178C" w:rsidP="00627CF2">
            <w:pPr>
              <w:spacing w:after="0" w:line="240" w:lineRule="auto"/>
              <w:jc w:val="center"/>
              <w:rPr>
                <w:rFonts w:ascii="Calibri" w:eastAsia="Times New Roman" w:hAnsi="Calibri" w:cs="Times New Roman"/>
                <w:color w:val="000000"/>
                <w:sz w:val="20"/>
                <w:szCs w:val="20"/>
                <w:lang w:eastAsia="en-GB"/>
              </w:rPr>
            </w:pPr>
          </w:p>
        </w:tc>
        <w:tc>
          <w:tcPr>
            <w:tcW w:w="854" w:type="dxa"/>
            <w:tcBorders>
              <w:top w:val="nil"/>
              <w:left w:val="nil"/>
              <w:bottom w:val="single" w:sz="4" w:space="0" w:color="auto"/>
              <w:right w:val="single" w:sz="4" w:space="0" w:color="auto"/>
            </w:tcBorders>
            <w:shd w:val="clear" w:color="auto" w:fill="auto"/>
            <w:noWrap/>
            <w:vAlign w:val="center"/>
            <w:hideMark/>
          </w:tcPr>
          <w:p w:rsidR="0089178C" w:rsidRPr="00627CF2" w:rsidRDefault="0089178C" w:rsidP="00627CF2">
            <w:pPr>
              <w:spacing w:after="0" w:line="240" w:lineRule="auto"/>
              <w:jc w:val="center"/>
              <w:rPr>
                <w:rFonts w:ascii="Calibri" w:eastAsia="Times New Roman" w:hAnsi="Calibri" w:cs="Times New Roman"/>
                <w:color w:val="000000"/>
                <w:sz w:val="20"/>
                <w:szCs w:val="20"/>
                <w:lang w:eastAsia="en-GB"/>
              </w:rPr>
            </w:pPr>
          </w:p>
        </w:tc>
        <w:tc>
          <w:tcPr>
            <w:tcW w:w="2674" w:type="dxa"/>
            <w:tcBorders>
              <w:top w:val="nil"/>
              <w:left w:val="nil"/>
              <w:bottom w:val="single" w:sz="4" w:space="0" w:color="auto"/>
              <w:right w:val="single" w:sz="4" w:space="0" w:color="auto"/>
            </w:tcBorders>
            <w:shd w:val="clear" w:color="auto" w:fill="auto"/>
            <w:vAlign w:val="center"/>
            <w:hideMark/>
          </w:tcPr>
          <w:p w:rsidR="0089178C" w:rsidRPr="00627CF2" w:rsidRDefault="0089178C" w:rsidP="00627CF2">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Status of clinical regulations and other related legislation should be regularly reviewed and current status confirmed prior to each business case submission</w:t>
            </w:r>
          </w:p>
        </w:tc>
        <w:tc>
          <w:tcPr>
            <w:tcW w:w="1567" w:type="dxa"/>
            <w:tcBorders>
              <w:top w:val="nil"/>
              <w:left w:val="nil"/>
              <w:bottom w:val="single" w:sz="4" w:space="0" w:color="auto"/>
              <w:right w:val="single" w:sz="4" w:space="0" w:color="auto"/>
            </w:tcBorders>
            <w:shd w:val="clear" w:color="auto" w:fill="auto"/>
            <w:noWrap/>
            <w:vAlign w:val="center"/>
            <w:hideMark/>
          </w:tcPr>
          <w:p w:rsidR="0089178C" w:rsidRPr="00627CF2" w:rsidRDefault="0089178C" w:rsidP="00627CF2">
            <w:pPr>
              <w:spacing w:after="0" w:line="240" w:lineRule="auto"/>
              <w:rPr>
                <w:rFonts w:ascii="Calibri" w:eastAsia="Times New Roman" w:hAnsi="Calibri" w:cs="Times New Roman"/>
                <w:color w:val="000000"/>
                <w:sz w:val="20"/>
                <w:szCs w:val="20"/>
                <w:lang w:eastAsia="en-GB"/>
              </w:rPr>
            </w:pPr>
          </w:p>
        </w:tc>
        <w:tc>
          <w:tcPr>
            <w:tcW w:w="910" w:type="dxa"/>
            <w:tcBorders>
              <w:top w:val="nil"/>
              <w:left w:val="nil"/>
              <w:bottom w:val="single" w:sz="4" w:space="0" w:color="auto"/>
              <w:right w:val="single" w:sz="4" w:space="0" w:color="auto"/>
            </w:tcBorders>
            <w:shd w:val="clear" w:color="auto" w:fill="auto"/>
            <w:noWrap/>
            <w:vAlign w:val="center"/>
            <w:hideMark/>
          </w:tcPr>
          <w:p w:rsidR="0089178C" w:rsidRPr="00627CF2" w:rsidRDefault="0089178C" w:rsidP="00627CF2">
            <w:pPr>
              <w:spacing w:after="0" w:line="240" w:lineRule="auto"/>
              <w:rPr>
                <w:rFonts w:ascii="Calibri" w:eastAsia="Times New Roman" w:hAnsi="Calibri" w:cs="Times New Roman"/>
                <w:color w:val="000000"/>
                <w:sz w:val="20"/>
                <w:szCs w:val="20"/>
                <w:lang w:eastAsia="en-GB"/>
              </w:rPr>
            </w:pPr>
          </w:p>
        </w:tc>
        <w:tc>
          <w:tcPr>
            <w:tcW w:w="1050" w:type="dxa"/>
            <w:tcBorders>
              <w:top w:val="nil"/>
              <w:left w:val="nil"/>
              <w:bottom w:val="single" w:sz="4" w:space="0" w:color="auto"/>
              <w:right w:val="single" w:sz="8" w:space="0" w:color="auto"/>
            </w:tcBorders>
            <w:shd w:val="clear" w:color="auto" w:fill="auto"/>
            <w:noWrap/>
            <w:vAlign w:val="center"/>
            <w:hideMark/>
          </w:tcPr>
          <w:p w:rsidR="0089178C" w:rsidRPr="00627CF2" w:rsidRDefault="0089178C" w:rsidP="00627CF2">
            <w:pPr>
              <w:spacing w:after="0" w:line="240" w:lineRule="auto"/>
              <w:rPr>
                <w:rFonts w:ascii="Calibri" w:eastAsia="Times New Roman" w:hAnsi="Calibri" w:cs="Times New Roman"/>
                <w:color w:val="000000"/>
                <w:sz w:val="20"/>
                <w:szCs w:val="20"/>
                <w:lang w:eastAsia="en-GB"/>
              </w:rPr>
            </w:pPr>
          </w:p>
        </w:tc>
      </w:tr>
      <w:tr w:rsidR="00627CF2" w:rsidRPr="00627CF2" w:rsidTr="00627CF2">
        <w:trPr>
          <w:trHeight w:val="270"/>
        </w:trPr>
        <w:tc>
          <w:tcPr>
            <w:tcW w:w="818" w:type="dxa"/>
            <w:tcBorders>
              <w:top w:val="nil"/>
              <w:left w:val="single" w:sz="8" w:space="0" w:color="auto"/>
              <w:bottom w:val="single" w:sz="8"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18.0</w:t>
            </w:r>
          </w:p>
        </w:tc>
        <w:tc>
          <w:tcPr>
            <w:tcW w:w="2586" w:type="dxa"/>
            <w:tcBorders>
              <w:top w:val="nil"/>
              <w:left w:val="nil"/>
              <w:bottom w:val="single" w:sz="8"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Policy risk</w:t>
            </w:r>
          </w:p>
        </w:tc>
        <w:tc>
          <w:tcPr>
            <w:tcW w:w="1568" w:type="dxa"/>
            <w:tcBorders>
              <w:top w:val="nil"/>
              <w:left w:val="nil"/>
              <w:bottom w:val="single" w:sz="8" w:space="0" w:color="auto"/>
              <w:right w:val="single" w:sz="4" w:space="0" w:color="auto"/>
            </w:tcBorders>
            <w:shd w:val="clear" w:color="auto" w:fill="auto"/>
            <w:vAlign w:val="center"/>
            <w:hideMark/>
          </w:tcPr>
          <w:p w:rsidR="00627CF2" w:rsidRPr="00627CF2" w:rsidRDefault="00627CF2" w:rsidP="00627CF2">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8"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8"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8" w:space="0" w:color="auto"/>
              <w:right w:val="single" w:sz="4" w:space="0" w:color="auto"/>
            </w:tcBorders>
            <w:shd w:val="clear" w:color="auto" w:fill="auto"/>
            <w:noWrap/>
            <w:vAlign w:val="center"/>
            <w:hideMark/>
          </w:tcPr>
          <w:p w:rsidR="00627CF2" w:rsidRPr="00627CF2" w:rsidRDefault="00627CF2" w:rsidP="00627CF2">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8" w:space="0" w:color="auto"/>
              <w:right w:val="single" w:sz="4" w:space="0" w:color="auto"/>
            </w:tcBorders>
            <w:shd w:val="clear" w:color="auto" w:fill="auto"/>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567" w:type="dxa"/>
            <w:tcBorders>
              <w:top w:val="nil"/>
              <w:left w:val="nil"/>
              <w:bottom w:val="single" w:sz="8"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8" w:space="0" w:color="auto"/>
              <w:right w:val="single" w:sz="4"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8" w:space="0" w:color="auto"/>
              <w:right w:val="single" w:sz="8" w:space="0" w:color="auto"/>
            </w:tcBorders>
            <w:shd w:val="clear" w:color="auto" w:fill="auto"/>
            <w:noWrap/>
            <w:vAlign w:val="center"/>
            <w:hideMark/>
          </w:tcPr>
          <w:p w:rsidR="00627CF2" w:rsidRPr="00627CF2" w:rsidRDefault="00627CF2" w:rsidP="00627CF2">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bl>
    <w:p w:rsidR="00426716" w:rsidRDefault="00426716" w:rsidP="0038452F">
      <w:pPr>
        <w:rPr>
          <w:rFonts w:ascii="Arial" w:hAnsi="Arial" w:cs="Arial"/>
          <w:b/>
          <w:sz w:val="24"/>
          <w:szCs w:val="24"/>
        </w:rPr>
      </w:pPr>
    </w:p>
    <w:p w:rsidR="00B35B9C" w:rsidRDefault="00B35B9C" w:rsidP="0038452F">
      <w:pPr>
        <w:rPr>
          <w:rFonts w:ascii="Arial" w:hAnsi="Arial" w:cs="Arial"/>
          <w:b/>
          <w:sz w:val="24"/>
          <w:szCs w:val="24"/>
        </w:rPr>
        <w:sectPr w:rsidR="00B35B9C" w:rsidSect="00CC204A">
          <w:footerReference w:type="default" r:id="rId25"/>
          <w:pgSz w:w="16838" w:h="11906" w:orient="landscape"/>
          <w:pgMar w:top="851" w:right="1440" w:bottom="851" w:left="1361" w:header="567" w:footer="567" w:gutter="0"/>
          <w:cols w:space="708"/>
          <w:docGrid w:linePitch="360"/>
        </w:sectPr>
      </w:pPr>
    </w:p>
    <w:p w:rsidR="00B35B9C" w:rsidRDefault="00B35B9C" w:rsidP="00B35B9C">
      <w:pPr>
        <w:pStyle w:val="StandardAppendixHeading"/>
      </w:pPr>
      <w:bookmarkStart w:id="31" w:name="_Toc415492020"/>
      <w:r>
        <w:lastRenderedPageBreak/>
        <w:t>Appendix E</w:t>
      </w:r>
      <w:r w:rsidR="00767CEB">
        <w:t>: Additional Project Risks at FBC stage</w:t>
      </w:r>
      <w:bookmarkEnd w:id="31"/>
    </w:p>
    <w:tbl>
      <w:tblPr>
        <w:tblW w:w="14714" w:type="dxa"/>
        <w:tblInd w:w="-34" w:type="dxa"/>
        <w:tblLayout w:type="fixed"/>
        <w:tblLook w:val="04A0"/>
      </w:tblPr>
      <w:tblGrid>
        <w:gridCol w:w="818"/>
        <w:gridCol w:w="2586"/>
        <w:gridCol w:w="1568"/>
        <w:gridCol w:w="1399"/>
        <w:gridCol w:w="1288"/>
        <w:gridCol w:w="854"/>
        <w:gridCol w:w="2674"/>
        <w:gridCol w:w="1567"/>
        <w:gridCol w:w="910"/>
        <w:gridCol w:w="1050"/>
      </w:tblGrid>
      <w:tr w:rsidR="00B35B9C" w:rsidRPr="00627CF2" w:rsidTr="00B35B9C">
        <w:trPr>
          <w:trHeight w:val="600"/>
          <w:tblHeader/>
        </w:trPr>
        <w:tc>
          <w:tcPr>
            <w:tcW w:w="4972" w:type="dxa"/>
            <w:gridSpan w:val="3"/>
            <w:tcBorders>
              <w:top w:val="single" w:sz="8" w:space="0" w:color="auto"/>
              <w:left w:val="single" w:sz="8" w:space="0" w:color="auto"/>
              <w:bottom w:val="single" w:sz="4" w:space="0" w:color="auto"/>
              <w:right w:val="single" w:sz="4" w:space="0" w:color="auto"/>
            </w:tcBorders>
            <w:shd w:val="clear" w:color="000000" w:fill="31849B"/>
            <w:noWrap/>
            <w:vAlign w:val="center"/>
            <w:hideMark/>
          </w:tcPr>
          <w:p w:rsidR="00B35B9C" w:rsidRPr="00627CF2" w:rsidRDefault="00B35B9C" w:rsidP="00B35B9C">
            <w:pPr>
              <w:spacing w:after="0" w:line="240" w:lineRule="auto"/>
              <w:jc w:val="center"/>
              <w:rPr>
                <w:rFonts w:ascii="Calibri" w:eastAsia="Times New Roman" w:hAnsi="Calibri" w:cs="Times New Roman"/>
                <w:b/>
                <w:bCs/>
                <w:color w:val="FFFFFF"/>
                <w:sz w:val="24"/>
                <w:szCs w:val="24"/>
                <w:lang w:eastAsia="en-GB"/>
              </w:rPr>
            </w:pPr>
            <w:r w:rsidRPr="00627CF2">
              <w:rPr>
                <w:rFonts w:ascii="Calibri" w:eastAsia="Times New Roman" w:hAnsi="Calibri" w:cs="Times New Roman"/>
                <w:b/>
                <w:bCs/>
                <w:color w:val="FFFFFF"/>
                <w:sz w:val="24"/>
                <w:szCs w:val="24"/>
                <w:lang w:eastAsia="en-GB"/>
              </w:rPr>
              <w:t>1.  Identification</w:t>
            </w:r>
          </w:p>
        </w:tc>
        <w:tc>
          <w:tcPr>
            <w:tcW w:w="3541" w:type="dxa"/>
            <w:gridSpan w:val="3"/>
            <w:tcBorders>
              <w:top w:val="single" w:sz="8" w:space="0" w:color="auto"/>
              <w:left w:val="nil"/>
              <w:bottom w:val="single" w:sz="4" w:space="0" w:color="auto"/>
              <w:right w:val="single" w:sz="4" w:space="0" w:color="auto"/>
            </w:tcBorders>
            <w:shd w:val="clear" w:color="000000" w:fill="31849B"/>
            <w:noWrap/>
            <w:vAlign w:val="center"/>
            <w:hideMark/>
          </w:tcPr>
          <w:p w:rsidR="00B35B9C" w:rsidRPr="00627CF2" w:rsidRDefault="00B35B9C" w:rsidP="00B35B9C">
            <w:pPr>
              <w:spacing w:after="0" w:line="240" w:lineRule="auto"/>
              <w:jc w:val="center"/>
              <w:rPr>
                <w:rFonts w:ascii="Calibri" w:eastAsia="Times New Roman" w:hAnsi="Calibri" w:cs="Times New Roman"/>
                <w:b/>
                <w:bCs/>
                <w:color w:val="FFFFFF"/>
                <w:sz w:val="24"/>
                <w:szCs w:val="24"/>
                <w:lang w:eastAsia="en-GB"/>
              </w:rPr>
            </w:pPr>
            <w:r w:rsidRPr="00627CF2">
              <w:rPr>
                <w:rFonts w:ascii="Calibri" w:eastAsia="Times New Roman" w:hAnsi="Calibri" w:cs="Times New Roman"/>
                <w:b/>
                <w:bCs/>
                <w:color w:val="FFFFFF"/>
                <w:sz w:val="24"/>
                <w:szCs w:val="24"/>
                <w:lang w:eastAsia="en-GB"/>
              </w:rPr>
              <w:t>2.  Assessment</w:t>
            </w:r>
          </w:p>
        </w:tc>
        <w:tc>
          <w:tcPr>
            <w:tcW w:w="4241" w:type="dxa"/>
            <w:gridSpan w:val="2"/>
            <w:tcBorders>
              <w:top w:val="single" w:sz="8" w:space="0" w:color="auto"/>
              <w:left w:val="nil"/>
              <w:bottom w:val="single" w:sz="4" w:space="0" w:color="auto"/>
              <w:right w:val="single" w:sz="4" w:space="0" w:color="auto"/>
            </w:tcBorders>
            <w:shd w:val="clear" w:color="000000" w:fill="31849B"/>
            <w:noWrap/>
            <w:vAlign w:val="center"/>
            <w:hideMark/>
          </w:tcPr>
          <w:p w:rsidR="00B35B9C" w:rsidRPr="00627CF2" w:rsidRDefault="00B35B9C" w:rsidP="00B35B9C">
            <w:pPr>
              <w:spacing w:after="0" w:line="240" w:lineRule="auto"/>
              <w:jc w:val="center"/>
              <w:rPr>
                <w:rFonts w:ascii="Calibri" w:eastAsia="Times New Roman" w:hAnsi="Calibri" w:cs="Times New Roman"/>
                <w:b/>
                <w:bCs/>
                <w:color w:val="FFFFFF"/>
                <w:sz w:val="24"/>
                <w:szCs w:val="24"/>
                <w:lang w:eastAsia="en-GB"/>
              </w:rPr>
            </w:pPr>
            <w:r w:rsidRPr="00627CF2">
              <w:rPr>
                <w:rFonts w:ascii="Calibri" w:eastAsia="Times New Roman" w:hAnsi="Calibri" w:cs="Times New Roman"/>
                <w:b/>
                <w:bCs/>
                <w:color w:val="FFFFFF"/>
                <w:sz w:val="24"/>
                <w:szCs w:val="24"/>
                <w:lang w:eastAsia="en-GB"/>
              </w:rPr>
              <w:t>3.  Control</w:t>
            </w:r>
          </w:p>
        </w:tc>
        <w:tc>
          <w:tcPr>
            <w:tcW w:w="1960" w:type="dxa"/>
            <w:gridSpan w:val="2"/>
            <w:tcBorders>
              <w:top w:val="single" w:sz="8" w:space="0" w:color="auto"/>
              <w:left w:val="nil"/>
              <w:bottom w:val="single" w:sz="4" w:space="0" w:color="auto"/>
              <w:right w:val="single" w:sz="8" w:space="0" w:color="000000"/>
            </w:tcBorders>
            <w:shd w:val="clear" w:color="000000" w:fill="31849B"/>
            <w:noWrap/>
            <w:vAlign w:val="center"/>
            <w:hideMark/>
          </w:tcPr>
          <w:p w:rsidR="00B35B9C" w:rsidRPr="00627CF2" w:rsidRDefault="00B35B9C" w:rsidP="00B35B9C">
            <w:pPr>
              <w:spacing w:after="0" w:line="240" w:lineRule="auto"/>
              <w:jc w:val="center"/>
              <w:rPr>
                <w:rFonts w:ascii="Calibri" w:eastAsia="Times New Roman" w:hAnsi="Calibri" w:cs="Times New Roman"/>
                <w:b/>
                <w:bCs/>
                <w:color w:val="FFFFFF"/>
                <w:sz w:val="24"/>
                <w:szCs w:val="24"/>
                <w:lang w:eastAsia="en-GB"/>
              </w:rPr>
            </w:pPr>
            <w:r w:rsidRPr="00627CF2">
              <w:rPr>
                <w:rFonts w:ascii="Calibri" w:eastAsia="Times New Roman" w:hAnsi="Calibri" w:cs="Times New Roman"/>
                <w:b/>
                <w:bCs/>
                <w:color w:val="FFFFFF"/>
                <w:sz w:val="24"/>
                <w:szCs w:val="24"/>
                <w:lang w:eastAsia="en-GB"/>
              </w:rPr>
              <w:t>4. Monitoring</w:t>
            </w:r>
          </w:p>
        </w:tc>
      </w:tr>
      <w:tr w:rsidR="00B35B9C" w:rsidRPr="00627CF2" w:rsidTr="00B35B9C">
        <w:trPr>
          <w:trHeight w:val="525"/>
          <w:tblHeader/>
        </w:trPr>
        <w:tc>
          <w:tcPr>
            <w:tcW w:w="818" w:type="dxa"/>
            <w:vMerge w:val="restart"/>
            <w:tcBorders>
              <w:top w:val="nil"/>
              <w:left w:val="single" w:sz="8" w:space="0" w:color="auto"/>
              <w:bottom w:val="single" w:sz="4" w:space="0" w:color="auto"/>
              <w:right w:val="single" w:sz="4" w:space="0" w:color="auto"/>
            </w:tcBorders>
            <w:shd w:val="clear" w:color="000000" w:fill="93CDDD"/>
            <w:vAlign w:val="center"/>
            <w:hideMark/>
          </w:tcPr>
          <w:p w:rsidR="00B35B9C" w:rsidRPr="00627CF2" w:rsidRDefault="00B35B9C" w:rsidP="00B35B9C">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Risk No</w:t>
            </w:r>
          </w:p>
        </w:tc>
        <w:tc>
          <w:tcPr>
            <w:tcW w:w="2586" w:type="dxa"/>
            <w:vMerge w:val="restart"/>
            <w:tcBorders>
              <w:top w:val="nil"/>
              <w:left w:val="single" w:sz="4" w:space="0" w:color="auto"/>
              <w:bottom w:val="single" w:sz="4" w:space="0" w:color="auto"/>
              <w:right w:val="single" w:sz="4" w:space="0" w:color="auto"/>
            </w:tcBorders>
            <w:shd w:val="clear" w:color="000000" w:fill="93CDDD"/>
            <w:vAlign w:val="center"/>
            <w:hideMark/>
          </w:tcPr>
          <w:p w:rsidR="00B35B9C" w:rsidRPr="00627CF2" w:rsidRDefault="00B35B9C" w:rsidP="00B35B9C">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Risk Description</w:t>
            </w:r>
          </w:p>
        </w:tc>
        <w:tc>
          <w:tcPr>
            <w:tcW w:w="1568" w:type="dxa"/>
            <w:vMerge w:val="restart"/>
            <w:tcBorders>
              <w:top w:val="nil"/>
              <w:left w:val="single" w:sz="4" w:space="0" w:color="auto"/>
              <w:bottom w:val="single" w:sz="4" w:space="0" w:color="auto"/>
              <w:right w:val="single" w:sz="4" w:space="0" w:color="auto"/>
            </w:tcBorders>
            <w:shd w:val="clear" w:color="000000" w:fill="93CDDD"/>
            <w:vAlign w:val="center"/>
            <w:hideMark/>
          </w:tcPr>
          <w:p w:rsidR="00B35B9C" w:rsidRPr="00627CF2" w:rsidRDefault="00B35B9C" w:rsidP="00B35B9C">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Financial / Non-Financial / Unquantifiable</w:t>
            </w:r>
          </w:p>
        </w:tc>
        <w:tc>
          <w:tcPr>
            <w:tcW w:w="1399" w:type="dxa"/>
            <w:tcBorders>
              <w:top w:val="nil"/>
              <w:left w:val="nil"/>
              <w:bottom w:val="single" w:sz="4" w:space="0" w:color="auto"/>
              <w:right w:val="single" w:sz="4" w:space="0" w:color="auto"/>
            </w:tcBorders>
            <w:shd w:val="clear" w:color="000000" w:fill="93CDDD"/>
            <w:vAlign w:val="center"/>
            <w:hideMark/>
          </w:tcPr>
          <w:p w:rsidR="00B35B9C" w:rsidRPr="00627CF2" w:rsidRDefault="00B35B9C" w:rsidP="00B35B9C">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Consequence</w:t>
            </w:r>
          </w:p>
        </w:tc>
        <w:tc>
          <w:tcPr>
            <w:tcW w:w="1288" w:type="dxa"/>
            <w:tcBorders>
              <w:top w:val="nil"/>
              <w:left w:val="nil"/>
              <w:bottom w:val="single" w:sz="4" w:space="0" w:color="auto"/>
              <w:right w:val="single" w:sz="4" w:space="0" w:color="auto"/>
            </w:tcBorders>
            <w:shd w:val="clear" w:color="000000" w:fill="93CDDD"/>
            <w:vAlign w:val="center"/>
            <w:hideMark/>
          </w:tcPr>
          <w:p w:rsidR="00B35B9C" w:rsidRPr="00627CF2" w:rsidRDefault="00B35B9C" w:rsidP="00B35B9C">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Likelihood</w:t>
            </w:r>
          </w:p>
        </w:tc>
        <w:tc>
          <w:tcPr>
            <w:tcW w:w="854" w:type="dxa"/>
            <w:vMerge w:val="restart"/>
            <w:tcBorders>
              <w:top w:val="nil"/>
              <w:left w:val="single" w:sz="4" w:space="0" w:color="auto"/>
              <w:bottom w:val="single" w:sz="4" w:space="0" w:color="auto"/>
              <w:right w:val="single" w:sz="4" w:space="0" w:color="auto"/>
            </w:tcBorders>
            <w:shd w:val="clear" w:color="000000" w:fill="93CDDD"/>
            <w:vAlign w:val="center"/>
            <w:hideMark/>
          </w:tcPr>
          <w:p w:rsidR="00B35B9C" w:rsidRPr="00627CF2" w:rsidRDefault="00B35B9C" w:rsidP="00B35B9C">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Risk</w:t>
            </w:r>
          </w:p>
        </w:tc>
        <w:tc>
          <w:tcPr>
            <w:tcW w:w="2674" w:type="dxa"/>
            <w:vMerge w:val="restart"/>
            <w:tcBorders>
              <w:top w:val="nil"/>
              <w:left w:val="single" w:sz="4" w:space="0" w:color="auto"/>
              <w:bottom w:val="single" w:sz="4" w:space="0" w:color="auto"/>
              <w:right w:val="single" w:sz="4" w:space="0" w:color="auto"/>
            </w:tcBorders>
            <w:shd w:val="clear" w:color="000000" w:fill="93CDDD"/>
            <w:vAlign w:val="center"/>
            <w:hideMark/>
          </w:tcPr>
          <w:p w:rsidR="00B35B9C" w:rsidRPr="00627CF2" w:rsidRDefault="00B35B9C" w:rsidP="00B35B9C">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Proposed Treatment / Mitigation</w:t>
            </w:r>
          </w:p>
        </w:tc>
        <w:tc>
          <w:tcPr>
            <w:tcW w:w="1567" w:type="dxa"/>
            <w:vMerge w:val="restart"/>
            <w:tcBorders>
              <w:top w:val="nil"/>
              <w:left w:val="single" w:sz="4" w:space="0" w:color="auto"/>
              <w:bottom w:val="single" w:sz="4" w:space="0" w:color="auto"/>
              <w:right w:val="single" w:sz="4" w:space="0" w:color="auto"/>
            </w:tcBorders>
            <w:shd w:val="clear" w:color="000000" w:fill="93CDDD"/>
            <w:vAlign w:val="center"/>
            <w:hideMark/>
          </w:tcPr>
          <w:p w:rsidR="00B35B9C" w:rsidRPr="00627CF2" w:rsidRDefault="00B35B9C" w:rsidP="00B35B9C">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Action Taken</w:t>
            </w:r>
          </w:p>
        </w:tc>
        <w:tc>
          <w:tcPr>
            <w:tcW w:w="1960" w:type="dxa"/>
            <w:gridSpan w:val="2"/>
            <w:tcBorders>
              <w:top w:val="single" w:sz="4" w:space="0" w:color="auto"/>
              <w:left w:val="nil"/>
              <w:bottom w:val="single" w:sz="4" w:space="0" w:color="auto"/>
              <w:right w:val="single" w:sz="8" w:space="0" w:color="000000"/>
            </w:tcBorders>
            <w:shd w:val="clear" w:color="000000" w:fill="93CDDD"/>
            <w:vAlign w:val="center"/>
            <w:hideMark/>
          </w:tcPr>
          <w:p w:rsidR="00B35B9C" w:rsidRPr="00627CF2" w:rsidRDefault="00B35B9C" w:rsidP="00B35B9C">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Risk Owner</w:t>
            </w:r>
          </w:p>
        </w:tc>
      </w:tr>
      <w:tr w:rsidR="00B35B9C" w:rsidRPr="00627CF2" w:rsidTr="00B35B9C">
        <w:trPr>
          <w:trHeight w:val="390"/>
          <w:tblHeader/>
        </w:trPr>
        <w:tc>
          <w:tcPr>
            <w:tcW w:w="818" w:type="dxa"/>
            <w:vMerge/>
            <w:tcBorders>
              <w:top w:val="nil"/>
              <w:left w:val="single" w:sz="8" w:space="0" w:color="auto"/>
              <w:bottom w:val="single" w:sz="4" w:space="0" w:color="auto"/>
              <w:right w:val="single" w:sz="4" w:space="0" w:color="auto"/>
            </w:tcBorders>
            <w:vAlign w:val="center"/>
            <w:hideMark/>
          </w:tcPr>
          <w:p w:rsidR="00B35B9C" w:rsidRPr="00627CF2" w:rsidRDefault="00B35B9C" w:rsidP="00B35B9C">
            <w:pPr>
              <w:spacing w:after="0" w:line="240" w:lineRule="auto"/>
              <w:rPr>
                <w:rFonts w:ascii="Calibri" w:eastAsia="Times New Roman" w:hAnsi="Calibri" w:cs="Times New Roman"/>
                <w:b/>
                <w:bCs/>
                <w:color w:val="000000"/>
                <w:sz w:val="20"/>
                <w:szCs w:val="20"/>
                <w:lang w:eastAsia="en-GB"/>
              </w:rPr>
            </w:pPr>
          </w:p>
        </w:tc>
        <w:tc>
          <w:tcPr>
            <w:tcW w:w="2586" w:type="dxa"/>
            <w:vMerge/>
            <w:tcBorders>
              <w:top w:val="nil"/>
              <w:left w:val="single" w:sz="4" w:space="0" w:color="auto"/>
              <w:bottom w:val="single" w:sz="4" w:space="0" w:color="auto"/>
              <w:right w:val="single" w:sz="4" w:space="0" w:color="auto"/>
            </w:tcBorders>
            <w:vAlign w:val="center"/>
            <w:hideMark/>
          </w:tcPr>
          <w:p w:rsidR="00B35B9C" w:rsidRPr="00627CF2" w:rsidRDefault="00B35B9C" w:rsidP="00B35B9C">
            <w:pPr>
              <w:spacing w:after="0" w:line="240" w:lineRule="auto"/>
              <w:rPr>
                <w:rFonts w:ascii="Calibri" w:eastAsia="Times New Roman" w:hAnsi="Calibri" w:cs="Times New Roman"/>
                <w:b/>
                <w:bCs/>
                <w:color w:val="000000"/>
                <w:sz w:val="20"/>
                <w:szCs w:val="20"/>
                <w:lang w:eastAsia="en-GB"/>
              </w:rPr>
            </w:pPr>
          </w:p>
        </w:tc>
        <w:tc>
          <w:tcPr>
            <w:tcW w:w="1568" w:type="dxa"/>
            <w:vMerge/>
            <w:tcBorders>
              <w:top w:val="nil"/>
              <w:left w:val="single" w:sz="4" w:space="0" w:color="auto"/>
              <w:bottom w:val="single" w:sz="4" w:space="0" w:color="auto"/>
              <w:right w:val="single" w:sz="4" w:space="0" w:color="auto"/>
            </w:tcBorders>
            <w:vAlign w:val="center"/>
            <w:hideMark/>
          </w:tcPr>
          <w:p w:rsidR="00B35B9C" w:rsidRPr="00627CF2" w:rsidRDefault="00B35B9C" w:rsidP="00B35B9C">
            <w:pPr>
              <w:spacing w:after="0" w:line="240" w:lineRule="auto"/>
              <w:rPr>
                <w:rFonts w:ascii="Calibri" w:eastAsia="Times New Roman" w:hAnsi="Calibri" w:cs="Times New Roman"/>
                <w:b/>
                <w:bCs/>
                <w:color w:val="000000"/>
                <w:sz w:val="20"/>
                <w:szCs w:val="20"/>
                <w:lang w:eastAsia="en-GB"/>
              </w:rPr>
            </w:pPr>
          </w:p>
        </w:tc>
        <w:tc>
          <w:tcPr>
            <w:tcW w:w="1399" w:type="dxa"/>
            <w:tcBorders>
              <w:top w:val="nil"/>
              <w:left w:val="nil"/>
              <w:bottom w:val="single" w:sz="4" w:space="0" w:color="auto"/>
              <w:right w:val="single" w:sz="4" w:space="0" w:color="auto"/>
            </w:tcBorders>
            <w:shd w:val="clear" w:color="000000" w:fill="93CDDD"/>
            <w:noWrap/>
            <w:vAlign w:val="center"/>
            <w:hideMark/>
          </w:tcPr>
          <w:p w:rsidR="00B35B9C" w:rsidRPr="00627CF2" w:rsidRDefault="00B35B9C" w:rsidP="00B35B9C">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(1 - 5)</w:t>
            </w:r>
          </w:p>
        </w:tc>
        <w:tc>
          <w:tcPr>
            <w:tcW w:w="1288" w:type="dxa"/>
            <w:tcBorders>
              <w:top w:val="nil"/>
              <w:left w:val="nil"/>
              <w:bottom w:val="single" w:sz="4" w:space="0" w:color="auto"/>
              <w:right w:val="single" w:sz="4" w:space="0" w:color="auto"/>
            </w:tcBorders>
            <w:shd w:val="clear" w:color="000000" w:fill="93CDDD"/>
            <w:noWrap/>
            <w:vAlign w:val="center"/>
            <w:hideMark/>
          </w:tcPr>
          <w:p w:rsidR="00B35B9C" w:rsidRPr="00627CF2" w:rsidRDefault="00B35B9C" w:rsidP="00B35B9C">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(1 - 5)</w:t>
            </w:r>
          </w:p>
        </w:tc>
        <w:tc>
          <w:tcPr>
            <w:tcW w:w="854" w:type="dxa"/>
            <w:vMerge/>
            <w:tcBorders>
              <w:top w:val="nil"/>
              <w:left w:val="single" w:sz="4" w:space="0" w:color="auto"/>
              <w:bottom w:val="single" w:sz="4" w:space="0" w:color="auto"/>
              <w:right w:val="single" w:sz="4" w:space="0" w:color="auto"/>
            </w:tcBorders>
            <w:vAlign w:val="center"/>
            <w:hideMark/>
          </w:tcPr>
          <w:p w:rsidR="00B35B9C" w:rsidRPr="00627CF2" w:rsidRDefault="00B35B9C" w:rsidP="00B35B9C">
            <w:pPr>
              <w:spacing w:after="0" w:line="240" w:lineRule="auto"/>
              <w:rPr>
                <w:rFonts w:ascii="Calibri" w:eastAsia="Times New Roman" w:hAnsi="Calibri" w:cs="Times New Roman"/>
                <w:b/>
                <w:bCs/>
                <w:color w:val="000000"/>
                <w:sz w:val="20"/>
                <w:szCs w:val="20"/>
                <w:lang w:eastAsia="en-GB"/>
              </w:rPr>
            </w:pPr>
          </w:p>
        </w:tc>
        <w:tc>
          <w:tcPr>
            <w:tcW w:w="2674" w:type="dxa"/>
            <w:vMerge/>
            <w:tcBorders>
              <w:top w:val="nil"/>
              <w:left w:val="single" w:sz="4" w:space="0" w:color="auto"/>
              <w:bottom w:val="single" w:sz="4" w:space="0" w:color="auto"/>
              <w:right w:val="single" w:sz="4" w:space="0" w:color="auto"/>
            </w:tcBorders>
            <w:vAlign w:val="center"/>
            <w:hideMark/>
          </w:tcPr>
          <w:p w:rsidR="00B35B9C" w:rsidRPr="00627CF2" w:rsidRDefault="00B35B9C" w:rsidP="00B35B9C">
            <w:pPr>
              <w:spacing w:after="0" w:line="240" w:lineRule="auto"/>
              <w:rPr>
                <w:rFonts w:ascii="Calibri" w:eastAsia="Times New Roman" w:hAnsi="Calibri" w:cs="Times New Roman"/>
                <w:b/>
                <w:bCs/>
                <w:color w:val="000000"/>
                <w:sz w:val="20"/>
                <w:szCs w:val="20"/>
                <w:lang w:eastAsia="en-GB"/>
              </w:rPr>
            </w:pPr>
          </w:p>
        </w:tc>
        <w:tc>
          <w:tcPr>
            <w:tcW w:w="1567" w:type="dxa"/>
            <w:vMerge/>
            <w:tcBorders>
              <w:top w:val="nil"/>
              <w:left w:val="single" w:sz="4" w:space="0" w:color="auto"/>
              <w:bottom w:val="single" w:sz="4" w:space="0" w:color="auto"/>
              <w:right w:val="single" w:sz="4" w:space="0" w:color="auto"/>
            </w:tcBorders>
            <w:vAlign w:val="center"/>
            <w:hideMark/>
          </w:tcPr>
          <w:p w:rsidR="00B35B9C" w:rsidRPr="00627CF2" w:rsidRDefault="00B35B9C" w:rsidP="00B35B9C">
            <w:pPr>
              <w:spacing w:after="0" w:line="240" w:lineRule="auto"/>
              <w:rPr>
                <w:rFonts w:ascii="Calibri" w:eastAsia="Times New Roman" w:hAnsi="Calibri" w:cs="Times New Roman"/>
                <w:b/>
                <w:bCs/>
                <w:color w:val="000000"/>
                <w:sz w:val="20"/>
                <w:szCs w:val="20"/>
                <w:lang w:eastAsia="en-GB"/>
              </w:rPr>
            </w:pPr>
          </w:p>
        </w:tc>
        <w:tc>
          <w:tcPr>
            <w:tcW w:w="910" w:type="dxa"/>
            <w:tcBorders>
              <w:top w:val="nil"/>
              <w:left w:val="nil"/>
              <w:bottom w:val="single" w:sz="4" w:space="0" w:color="auto"/>
              <w:right w:val="single" w:sz="4" w:space="0" w:color="auto"/>
            </w:tcBorders>
            <w:shd w:val="clear" w:color="000000" w:fill="93CDDD"/>
            <w:vAlign w:val="center"/>
            <w:hideMark/>
          </w:tcPr>
          <w:p w:rsidR="00B35B9C" w:rsidRPr="00627CF2" w:rsidRDefault="00B35B9C" w:rsidP="00B35B9C">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Type</w:t>
            </w:r>
          </w:p>
        </w:tc>
        <w:tc>
          <w:tcPr>
            <w:tcW w:w="1050" w:type="dxa"/>
            <w:tcBorders>
              <w:top w:val="nil"/>
              <w:left w:val="nil"/>
              <w:bottom w:val="single" w:sz="4" w:space="0" w:color="auto"/>
              <w:right w:val="single" w:sz="8" w:space="0" w:color="auto"/>
            </w:tcBorders>
            <w:shd w:val="clear" w:color="000000" w:fill="93CDDD"/>
            <w:vAlign w:val="center"/>
            <w:hideMark/>
          </w:tcPr>
          <w:p w:rsidR="00B35B9C" w:rsidRPr="00627CF2" w:rsidRDefault="00B35B9C" w:rsidP="00B35B9C">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Individual</w:t>
            </w:r>
          </w:p>
        </w:tc>
      </w:tr>
      <w:tr w:rsidR="00B35B9C" w:rsidRPr="00627CF2" w:rsidTr="00B35B9C">
        <w:trPr>
          <w:trHeight w:val="375"/>
        </w:trPr>
        <w:tc>
          <w:tcPr>
            <w:tcW w:w="4972" w:type="dxa"/>
            <w:gridSpan w:val="3"/>
            <w:tcBorders>
              <w:top w:val="single" w:sz="4" w:space="0" w:color="auto"/>
              <w:left w:val="single" w:sz="8" w:space="0" w:color="auto"/>
              <w:bottom w:val="single" w:sz="4" w:space="0" w:color="auto"/>
              <w:right w:val="single" w:sz="4" w:space="0" w:color="000000"/>
            </w:tcBorders>
            <w:shd w:val="clear" w:color="000000" w:fill="FFFF66"/>
            <w:noWrap/>
            <w:vAlign w:val="center"/>
            <w:hideMark/>
          </w:tcPr>
          <w:p w:rsidR="00B35B9C" w:rsidRPr="00627CF2" w:rsidRDefault="00B35B9C" w:rsidP="00B35B9C">
            <w:pPr>
              <w:spacing w:after="0" w:line="240" w:lineRule="auto"/>
              <w:rPr>
                <w:rFonts w:ascii="Calibri" w:eastAsia="Times New Roman" w:hAnsi="Calibri" w:cs="Times New Roman"/>
                <w:b/>
                <w:bCs/>
                <w:color w:val="000000"/>
                <w:sz w:val="28"/>
                <w:szCs w:val="28"/>
                <w:lang w:eastAsia="en-GB"/>
              </w:rPr>
            </w:pPr>
            <w:r w:rsidRPr="00627CF2">
              <w:rPr>
                <w:rFonts w:ascii="Calibri" w:eastAsia="Times New Roman" w:hAnsi="Calibri" w:cs="Times New Roman"/>
                <w:b/>
                <w:bCs/>
                <w:color w:val="000000"/>
                <w:sz w:val="28"/>
                <w:szCs w:val="28"/>
                <w:lang w:eastAsia="en-GB"/>
              </w:rPr>
              <w:t>PLANNING &amp; DESIGN RISKS</w:t>
            </w:r>
          </w:p>
        </w:tc>
        <w:tc>
          <w:tcPr>
            <w:tcW w:w="1399" w:type="dxa"/>
            <w:tcBorders>
              <w:top w:val="nil"/>
              <w:left w:val="nil"/>
              <w:bottom w:val="single" w:sz="4" w:space="0" w:color="auto"/>
              <w:right w:val="single" w:sz="4" w:space="0" w:color="auto"/>
            </w:tcBorders>
            <w:shd w:val="clear" w:color="auto" w:fill="auto"/>
            <w:noWrap/>
            <w:vAlign w:val="center"/>
            <w:hideMark/>
          </w:tcPr>
          <w:p w:rsidR="00B35B9C" w:rsidRPr="00627CF2" w:rsidRDefault="00B35B9C" w:rsidP="00B35B9C">
            <w:pPr>
              <w:spacing w:after="0" w:line="240" w:lineRule="auto"/>
              <w:rPr>
                <w:rFonts w:ascii="Calibri" w:eastAsia="Times New Roman" w:hAnsi="Calibri" w:cs="Times New Roman"/>
                <w:b/>
                <w:bCs/>
                <w:color w:val="000000"/>
                <w:sz w:val="28"/>
                <w:szCs w:val="28"/>
                <w:lang w:eastAsia="en-GB"/>
              </w:rPr>
            </w:pPr>
            <w:r w:rsidRPr="00627CF2">
              <w:rPr>
                <w:rFonts w:ascii="Calibri" w:eastAsia="Times New Roman" w:hAnsi="Calibri" w:cs="Times New Roman"/>
                <w:b/>
                <w:bCs/>
                <w:color w:val="000000"/>
                <w:sz w:val="28"/>
                <w:szCs w:val="28"/>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B35B9C" w:rsidRPr="00627CF2" w:rsidRDefault="00B35B9C" w:rsidP="00B35B9C">
            <w:pPr>
              <w:spacing w:after="0" w:line="240" w:lineRule="auto"/>
              <w:rPr>
                <w:rFonts w:ascii="Calibri" w:eastAsia="Times New Roman" w:hAnsi="Calibri" w:cs="Times New Roman"/>
                <w:b/>
                <w:bCs/>
                <w:color w:val="000000"/>
                <w:sz w:val="28"/>
                <w:szCs w:val="28"/>
                <w:lang w:eastAsia="en-GB"/>
              </w:rPr>
            </w:pPr>
            <w:r w:rsidRPr="00627CF2">
              <w:rPr>
                <w:rFonts w:ascii="Calibri" w:eastAsia="Times New Roman" w:hAnsi="Calibri" w:cs="Times New Roman"/>
                <w:b/>
                <w:bCs/>
                <w:color w:val="000000"/>
                <w:sz w:val="28"/>
                <w:szCs w:val="28"/>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B35B9C" w:rsidRPr="00627CF2" w:rsidRDefault="00B35B9C" w:rsidP="00B35B9C">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noWrap/>
            <w:vAlign w:val="center"/>
            <w:hideMark/>
          </w:tcPr>
          <w:p w:rsidR="00B35B9C" w:rsidRPr="00627CF2" w:rsidRDefault="00B35B9C" w:rsidP="00B35B9C">
            <w:pPr>
              <w:spacing w:after="0" w:line="240" w:lineRule="auto"/>
              <w:rPr>
                <w:rFonts w:ascii="Calibri" w:eastAsia="Times New Roman" w:hAnsi="Calibri" w:cs="Times New Roman"/>
                <w:b/>
                <w:bCs/>
                <w:color w:val="000000"/>
                <w:sz w:val="28"/>
                <w:szCs w:val="28"/>
                <w:lang w:eastAsia="en-GB"/>
              </w:rPr>
            </w:pPr>
            <w:r w:rsidRPr="00627CF2">
              <w:rPr>
                <w:rFonts w:ascii="Calibri" w:eastAsia="Times New Roman" w:hAnsi="Calibri" w:cs="Times New Roman"/>
                <w:b/>
                <w:bCs/>
                <w:color w:val="000000"/>
                <w:sz w:val="28"/>
                <w:szCs w:val="28"/>
                <w:lang w:eastAsia="en-GB"/>
              </w:rPr>
              <w:t> </w:t>
            </w:r>
          </w:p>
        </w:tc>
        <w:tc>
          <w:tcPr>
            <w:tcW w:w="1567" w:type="dxa"/>
            <w:tcBorders>
              <w:top w:val="nil"/>
              <w:left w:val="nil"/>
              <w:bottom w:val="single" w:sz="4" w:space="0" w:color="auto"/>
              <w:right w:val="single" w:sz="4" w:space="0" w:color="auto"/>
            </w:tcBorders>
            <w:shd w:val="clear" w:color="auto" w:fill="auto"/>
            <w:noWrap/>
            <w:vAlign w:val="center"/>
            <w:hideMark/>
          </w:tcPr>
          <w:p w:rsidR="00B35B9C" w:rsidRPr="00627CF2" w:rsidRDefault="00B35B9C" w:rsidP="00B35B9C">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B35B9C" w:rsidRPr="00627CF2" w:rsidRDefault="00B35B9C" w:rsidP="00B35B9C">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B35B9C" w:rsidRPr="00627CF2" w:rsidRDefault="00B35B9C" w:rsidP="00B35B9C">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353173" w:rsidRPr="00627CF2" w:rsidTr="00353173">
        <w:trPr>
          <w:trHeight w:val="116"/>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353173" w:rsidRPr="00353173" w:rsidRDefault="00353173" w:rsidP="00B35B9C">
            <w:pPr>
              <w:spacing w:after="0" w:line="240" w:lineRule="auto"/>
              <w:jc w:val="center"/>
              <w:rPr>
                <w:rFonts w:ascii="Calibri" w:eastAsia="Times New Roman" w:hAnsi="Calibri" w:cs="Times New Roman"/>
                <w:b/>
                <w:color w:val="000000"/>
                <w:sz w:val="20"/>
                <w:szCs w:val="20"/>
                <w:lang w:eastAsia="en-GB"/>
              </w:rPr>
            </w:pPr>
            <w:r w:rsidRPr="00353173">
              <w:rPr>
                <w:rFonts w:ascii="Calibri" w:eastAsia="Times New Roman" w:hAnsi="Calibri" w:cs="Times New Roman"/>
                <w:b/>
                <w:color w:val="000000"/>
                <w:sz w:val="20"/>
                <w:szCs w:val="20"/>
                <w:lang w:eastAsia="en-GB"/>
              </w:rPr>
              <w:t>10.0</w:t>
            </w:r>
          </w:p>
        </w:tc>
        <w:tc>
          <w:tcPr>
            <w:tcW w:w="2586" w:type="dxa"/>
            <w:tcBorders>
              <w:top w:val="nil"/>
              <w:left w:val="nil"/>
              <w:bottom w:val="single" w:sz="4" w:space="0" w:color="auto"/>
              <w:right w:val="single" w:sz="4" w:space="0" w:color="auto"/>
            </w:tcBorders>
            <w:shd w:val="clear" w:color="auto" w:fill="auto"/>
            <w:vAlign w:val="center"/>
            <w:hideMark/>
          </w:tcPr>
          <w:p w:rsidR="00353173" w:rsidRPr="00353173" w:rsidRDefault="00353173" w:rsidP="00B35B9C">
            <w:pPr>
              <w:spacing w:after="0" w:line="240" w:lineRule="auto"/>
              <w:rPr>
                <w:rFonts w:ascii="Calibri" w:eastAsia="Times New Roman" w:hAnsi="Calibri" w:cs="Times New Roman"/>
                <w:b/>
                <w:color w:val="000000"/>
                <w:sz w:val="20"/>
                <w:szCs w:val="20"/>
                <w:lang w:eastAsia="en-GB"/>
              </w:rPr>
            </w:pPr>
            <w:r w:rsidRPr="00353173">
              <w:rPr>
                <w:rFonts w:ascii="Calibri" w:eastAsia="Times New Roman" w:hAnsi="Calibri" w:cs="Times New Roman"/>
                <w:b/>
                <w:color w:val="000000"/>
                <w:sz w:val="20"/>
                <w:szCs w:val="20"/>
                <w:lang w:eastAsia="en-GB"/>
              </w:rPr>
              <w:t>Design risk</w:t>
            </w:r>
          </w:p>
        </w:tc>
        <w:tc>
          <w:tcPr>
            <w:tcW w:w="1568" w:type="dxa"/>
            <w:tcBorders>
              <w:top w:val="nil"/>
              <w:left w:val="nil"/>
              <w:bottom w:val="single" w:sz="4" w:space="0" w:color="auto"/>
              <w:right w:val="single" w:sz="4" w:space="0" w:color="auto"/>
            </w:tcBorders>
            <w:shd w:val="clear" w:color="auto" w:fill="auto"/>
            <w:vAlign w:val="center"/>
            <w:hideMark/>
          </w:tcPr>
          <w:p w:rsidR="00353173" w:rsidRPr="00627CF2" w:rsidRDefault="00353173" w:rsidP="00B35B9C">
            <w:pPr>
              <w:spacing w:after="0" w:line="240" w:lineRule="auto"/>
              <w:jc w:val="center"/>
              <w:rPr>
                <w:rFonts w:ascii="Calibri" w:eastAsia="Times New Roman" w:hAnsi="Calibri" w:cs="Times New Roman"/>
                <w:b/>
                <w:bCs/>
                <w:color w:val="000000"/>
                <w:sz w:val="20"/>
                <w:szCs w:val="20"/>
                <w:lang w:eastAsia="en-GB"/>
              </w:rPr>
            </w:pPr>
          </w:p>
        </w:tc>
        <w:tc>
          <w:tcPr>
            <w:tcW w:w="1399" w:type="dxa"/>
            <w:tcBorders>
              <w:top w:val="nil"/>
              <w:left w:val="nil"/>
              <w:bottom w:val="single" w:sz="4" w:space="0" w:color="auto"/>
              <w:right w:val="single" w:sz="4" w:space="0" w:color="auto"/>
            </w:tcBorders>
            <w:shd w:val="clear" w:color="auto" w:fill="auto"/>
            <w:noWrap/>
            <w:vAlign w:val="center"/>
            <w:hideMark/>
          </w:tcPr>
          <w:p w:rsidR="00353173" w:rsidRPr="00627CF2" w:rsidRDefault="00353173" w:rsidP="00B35B9C">
            <w:pPr>
              <w:spacing w:after="0" w:line="240" w:lineRule="auto"/>
              <w:jc w:val="center"/>
              <w:rPr>
                <w:rFonts w:ascii="Calibri" w:eastAsia="Times New Roman" w:hAnsi="Calibri" w:cs="Times New Roman"/>
                <w:color w:val="000000"/>
                <w:sz w:val="20"/>
                <w:szCs w:val="20"/>
                <w:lang w:eastAsia="en-GB"/>
              </w:rPr>
            </w:pPr>
          </w:p>
        </w:tc>
        <w:tc>
          <w:tcPr>
            <w:tcW w:w="1288" w:type="dxa"/>
            <w:tcBorders>
              <w:top w:val="nil"/>
              <w:left w:val="nil"/>
              <w:bottom w:val="single" w:sz="4" w:space="0" w:color="auto"/>
              <w:right w:val="single" w:sz="4" w:space="0" w:color="auto"/>
            </w:tcBorders>
            <w:shd w:val="clear" w:color="auto" w:fill="auto"/>
            <w:noWrap/>
            <w:vAlign w:val="center"/>
            <w:hideMark/>
          </w:tcPr>
          <w:p w:rsidR="00353173" w:rsidRPr="00627CF2" w:rsidRDefault="00353173" w:rsidP="00B35B9C">
            <w:pPr>
              <w:spacing w:after="0" w:line="240" w:lineRule="auto"/>
              <w:jc w:val="center"/>
              <w:rPr>
                <w:rFonts w:ascii="Calibri" w:eastAsia="Times New Roman" w:hAnsi="Calibri" w:cs="Times New Roman"/>
                <w:color w:val="000000"/>
                <w:sz w:val="20"/>
                <w:szCs w:val="20"/>
                <w:lang w:eastAsia="en-GB"/>
              </w:rPr>
            </w:pPr>
          </w:p>
        </w:tc>
        <w:tc>
          <w:tcPr>
            <w:tcW w:w="854" w:type="dxa"/>
            <w:tcBorders>
              <w:top w:val="nil"/>
              <w:left w:val="nil"/>
              <w:bottom w:val="single" w:sz="4" w:space="0" w:color="auto"/>
              <w:right w:val="single" w:sz="4" w:space="0" w:color="auto"/>
            </w:tcBorders>
            <w:shd w:val="clear" w:color="auto" w:fill="auto"/>
            <w:noWrap/>
            <w:vAlign w:val="center"/>
            <w:hideMark/>
          </w:tcPr>
          <w:p w:rsidR="00353173" w:rsidRPr="00627CF2" w:rsidRDefault="00353173" w:rsidP="00B35B9C">
            <w:pPr>
              <w:spacing w:after="0" w:line="240" w:lineRule="auto"/>
              <w:jc w:val="center"/>
              <w:rPr>
                <w:rFonts w:ascii="Calibri" w:eastAsia="Times New Roman" w:hAnsi="Calibri" w:cs="Times New Roman"/>
                <w:color w:val="000000"/>
                <w:sz w:val="20"/>
                <w:szCs w:val="20"/>
                <w:lang w:eastAsia="en-GB"/>
              </w:rPr>
            </w:pPr>
          </w:p>
        </w:tc>
        <w:tc>
          <w:tcPr>
            <w:tcW w:w="2674" w:type="dxa"/>
            <w:tcBorders>
              <w:top w:val="nil"/>
              <w:left w:val="nil"/>
              <w:bottom w:val="single" w:sz="4" w:space="0" w:color="auto"/>
              <w:right w:val="single" w:sz="4" w:space="0" w:color="auto"/>
            </w:tcBorders>
            <w:shd w:val="clear" w:color="auto" w:fill="auto"/>
            <w:vAlign w:val="center"/>
            <w:hideMark/>
          </w:tcPr>
          <w:p w:rsidR="00353173" w:rsidRDefault="00353173" w:rsidP="00B35B9C">
            <w:pPr>
              <w:spacing w:after="0" w:line="240" w:lineRule="auto"/>
              <w:rPr>
                <w:rFonts w:ascii="Calibri" w:eastAsia="Times New Roman" w:hAnsi="Calibri" w:cs="Times New Roman"/>
                <w:color w:val="000000"/>
                <w:sz w:val="20"/>
                <w:szCs w:val="20"/>
                <w:lang w:eastAsia="en-GB"/>
              </w:rPr>
            </w:pPr>
          </w:p>
        </w:tc>
        <w:tc>
          <w:tcPr>
            <w:tcW w:w="1567" w:type="dxa"/>
            <w:tcBorders>
              <w:top w:val="nil"/>
              <w:left w:val="nil"/>
              <w:bottom w:val="single" w:sz="4" w:space="0" w:color="auto"/>
              <w:right w:val="single" w:sz="4" w:space="0" w:color="auto"/>
            </w:tcBorders>
            <w:shd w:val="clear" w:color="auto" w:fill="auto"/>
            <w:noWrap/>
            <w:vAlign w:val="center"/>
            <w:hideMark/>
          </w:tcPr>
          <w:p w:rsidR="00353173" w:rsidRPr="00627CF2" w:rsidRDefault="00353173" w:rsidP="00B35B9C">
            <w:pPr>
              <w:spacing w:after="0" w:line="240" w:lineRule="auto"/>
              <w:rPr>
                <w:rFonts w:ascii="Calibri" w:eastAsia="Times New Roman" w:hAnsi="Calibri" w:cs="Times New Roman"/>
                <w:color w:val="000000"/>
                <w:sz w:val="20"/>
                <w:szCs w:val="20"/>
                <w:lang w:eastAsia="en-GB"/>
              </w:rPr>
            </w:pPr>
          </w:p>
        </w:tc>
        <w:tc>
          <w:tcPr>
            <w:tcW w:w="910" w:type="dxa"/>
            <w:tcBorders>
              <w:top w:val="nil"/>
              <w:left w:val="nil"/>
              <w:bottom w:val="single" w:sz="4" w:space="0" w:color="auto"/>
              <w:right w:val="single" w:sz="4" w:space="0" w:color="auto"/>
            </w:tcBorders>
            <w:shd w:val="clear" w:color="auto" w:fill="auto"/>
            <w:noWrap/>
            <w:vAlign w:val="center"/>
            <w:hideMark/>
          </w:tcPr>
          <w:p w:rsidR="00353173" w:rsidRPr="00627CF2" w:rsidRDefault="00353173" w:rsidP="00B35B9C">
            <w:pPr>
              <w:spacing w:after="0" w:line="240" w:lineRule="auto"/>
              <w:rPr>
                <w:rFonts w:ascii="Calibri" w:eastAsia="Times New Roman" w:hAnsi="Calibri" w:cs="Times New Roman"/>
                <w:color w:val="000000"/>
                <w:sz w:val="20"/>
                <w:szCs w:val="20"/>
                <w:lang w:eastAsia="en-GB"/>
              </w:rPr>
            </w:pPr>
          </w:p>
        </w:tc>
        <w:tc>
          <w:tcPr>
            <w:tcW w:w="1050" w:type="dxa"/>
            <w:tcBorders>
              <w:top w:val="nil"/>
              <w:left w:val="nil"/>
              <w:bottom w:val="single" w:sz="4" w:space="0" w:color="auto"/>
              <w:right w:val="single" w:sz="8" w:space="0" w:color="auto"/>
            </w:tcBorders>
            <w:shd w:val="clear" w:color="auto" w:fill="auto"/>
            <w:noWrap/>
            <w:vAlign w:val="center"/>
            <w:hideMark/>
          </w:tcPr>
          <w:p w:rsidR="00353173" w:rsidRPr="00627CF2" w:rsidRDefault="00353173" w:rsidP="00B35B9C">
            <w:pPr>
              <w:spacing w:after="0" w:line="240" w:lineRule="auto"/>
              <w:rPr>
                <w:rFonts w:ascii="Calibri" w:eastAsia="Times New Roman" w:hAnsi="Calibri" w:cs="Times New Roman"/>
                <w:color w:val="000000"/>
                <w:sz w:val="20"/>
                <w:szCs w:val="20"/>
                <w:lang w:eastAsia="en-GB"/>
              </w:rPr>
            </w:pPr>
          </w:p>
        </w:tc>
      </w:tr>
      <w:tr w:rsidR="00B35B9C" w:rsidRPr="00627CF2" w:rsidTr="00B35B9C">
        <w:trPr>
          <w:trHeight w:val="1530"/>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B35B9C" w:rsidRPr="00627CF2" w:rsidRDefault="00B35B9C" w:rsidP="00B35B9C">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10.9</w:t>
            </w:r>
          </w:p>
        </w:tc>
        <w:tc>
          <w:tcPr>
            <w:tcW w:w="2586" w:type="dxa"/>
            <w:tcBorders>
              <w:top w:val="nil"/>
              <w:left w:val="nil"/>
              <w:bottom w:val="single" w:sz="4" w:space="0" w:color="auto"/>
              <w:right w:val="single" w:sz="4" w:space="0" w:color="auto"/>
            </w:tcBorders>
            <w:shd w:val="clear" w:color="auto" w:fill="auto"/>
            <w:vAlign w:val="center"/>
            <w:hideMark/>
          </w:tcPr>
          <w:p w:rsidR="00B35B9C" w:rsidRPr="00627CF2" w:rsidRDefault="00B35B9C" w:rsidP="00B35B9C">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The design fails to incorporate infection control standards</w:t>
            </w:r>
          </w:p>
        </w:tc>
        <w:tc>
          <w:tcPr>
            <w:tcW w:w="1568" w:type="dxa"/>
            <w:tcBorders>
              <w:top w:val="nil"/>
              <w:left w:val="nil"/>
              <w:bottom w:val="single" w:sz="4" w:space="0" w:color="auto"/>
              <w:right w:val="single" w:sz="4" w:space="0" w:color="auto"/>
            </w:tcBorders>
            <w:shd w:val="clear" w:color="auto" w:fill="auto"/>
            <w:vAlign w:val="center"/>
            <w:hideMark/>
          </w:tcPr>
          <w:p w:rsidR="00B35B9C" w:rsidRPr="00627CF2" w:rsidRDefault="00B35B9C" w:rsidP="00B35B9C">
            <w:pPr>
              <w:spacing w:after="0" w:line="240" w:lineRule="auto"/>
              <w:jc w:val="center"/>
              <w:rPr>
                <w:rFonts w:ascii="Calibri" w:eastAsia="Times New Roman" w:hAnsi="Calibri" w:cs="Times New Roman"/>
                <w:b/>
                <w:bCs/>
                <w:color w:val="000000"/>
                <w:sz w:val="20"/>
                <w:szCs w:val="20"/>
                <w:lang w:eastAsia="en-GB"/>
              </w:rPr>
            </w:pPr>
          </w:p>
        </w:tc>
        <w:tc>
          <w:tcPr>
            <w:tcW w:w="1399" w:type="dxa"/>
            <w:tcBorders>
              <w:top w:val="nil"/>
              <w:left w:val="nil"/>
              <w:bottom w:val="single" w:sz="4" w:space="0" w:color="auto"/>
              <w:right w:val="single" w:sz="4" w:space="0" w:color="auto"/>
            </w:tcBorders>
            <w:shd w:val="clear" w:color="auto" w:fill="auto"/>
            <w:noWrap/>
            <w:vAlign w:val="center"/>
            <w:hideMark/>
          </w:tcPr>
          <w:p w:rsidR="00B35B9C" w:rsidRPr="00627CF2" w:rsidRDefault="00B35B9C" w:rsidP="00B35B9C">
            <w:pPr>
              <w:spacing w:after="0" w:line="240" w:lineRule="auto"/>
              <w:jc w:val="center"/>
              <w:rPr>
                <w:rFonts w:ascii="Calibri" w:eastAsia="Times New Roman" w:hAnsi="Calibri" w:cs="Times New Roman"/>
                <w:color w:val="000000"/>
                <w:sz w:val="20"/>
                <w:szCs w:val="20"/>
                <w:lang w:eastAsia="en-GB"/>
              </w:rPr>
            </w:pPr>
          </w:p>
        </w:tc>
        <w:tc>
          <w:tcPr>
            <w:tcW w:w="1288" w:type="dxa"/>
            <w:tcBorders>
              <w:top w:val="nil"/>
              <w:left w:val="nil"/>
              <w:bottom w:val="single" w:sz="4" w:space="0" w:color="auto"/>
              <w:right w:val="single" w:sz="4" w:space="0" w:color="auto"/>
            </w:tcBorders>
            <w:shd w:val="clear" w:color="auto" w:fill="auto"/>
            <w:noWrap/>
            <w:vAlign w:val="center"/>
            <w:hideMark/>
          </w:tcPr>
          <w:p w:rsidR="00B35B9C" w:rsidRPr="00627CF2" w:rsidRDefault="00B35B9C" w:rsidP="00B35B9C">
            <w:pPr>
              <w:spacing w:after="0" w:line="240" w:lineRule="auto"/>
              <w:jc w:val="center"/>
              <w:rPr>
                <w:rFonts w:ascii="Calibri" w:eastAsia="Times New Roman" w:hAnsi="Calibri" w:cs="Times New Roman"/>
                <w:color w:val="000000"/>
                <w:sz w:val="20"/>
                <w:szCs w:val="20"/>
                <w:lang w:eastAsia="en-GB"/>
              </w:rPr>
            </w:pPr>
          </w:p>
        </w:tc>
        <w:tc>
          <w:tcPr>
            <w:tcW w:w="854" w:type="dxa"/>
            <w:tcBorders>
              <w:top w:val="nil"/>
              <w:left w:val="nil"/>
              <w:bottom w:val="single" w:sz="4" w:space="0" w:color="auto"/>
              <w:right w:val="single" w:sz="4" w:space="0" w:color="auto"/>
            </w:tcBorders>
            <w:shd w:val="clear" w:color="auto" w:fill="auto"/>
            <w:noWrap/>
            <w:vAlign w:val="center"/>
            <w:hideMark/>
          </w:tcPr>
          <w:p w:rsidR="00B35B9C" w:rsidRPr="00627CF2" w:rsidRDefault="00B35B9C" w:rsidP="00B35B9C">
            <w:pPr>
              <w:spacing w:after="0" w:line="240" w:lineRule="auto"/>
              <w:jc w:val="center"/>
              <w:rPr>
                <w:rFonts w:ascii="Calibri" w:eastAsia="Times New Roman" w:hAnsi="Calibri" w:cs="Times New Roman"/>
                <w:color w:val="000000"/>
                <w:sz w:val="20"/>
                <w:szCs w:val="20"/>
                <w:lang w:eastAsia="en-GB"/>
              </w:rPr>
            </w:pPr>
          </w:p>
        </w:tc>
        <w:tc>
          <w:tcPr>
            <w:tcW w:w="2674" w:type="dxa"/>
            <w:tcBorders>
              <w:top w:val="nil"/>
              <w:left w:val="nil"/>
              <w:bottom w:val="single" w:sz="4" w:space="0" w:color="auto"/>
              <w:right w:val="single" w:sz="4" w:space="0" w:color="auto"/>
            </w:tcBorders>
            <w:shd w:val="clear" w:color="auto" w:fill="auto"/>
            <w:vAlign w:val="center"/>
            <w:hideMark/>
          </w:tcPr>
          <w:p w:rsidR="00B35B9C" w:rsidRPr="00627CF2" w:rsidRDefault="00B35B9C" w:rsidP="00B35B9C">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A stage within the design development process should incorporate engagement with Infection Control representatives</w:t>
            </w:r>
          </w:p>
        </w:tc>
        <w:tc>
          <w:tcPr>
            <w:tcW w:w="1567" w:type="dxa"/>
            <w:tcBorders>
              <w:top w:val="nil"/>
              <w:left w:val="nil"/>
              <w:bottom w:val="single" w:sz="4" w:space="0" w:color="auto"/>
              <w:right w:val="single" w:sz="4" w:space="0" w:color="auto"/>
            </w:tcBorders>
            <w:shd w:val="clear" w:color="auto" w:fill="auto"/>
            <w:noWrap/>
            <w:vAlign w:val="center"/>
            <w:hideMark/>
          </w:tcPr>
          <w:p w:rsidR="00B35B9C" w:rsidRPr="00627CF2" w:rsidRDefault="00B35B9C" w:rsidP="00B35B9C">
            <w:pPr>
              <w:spacing w:after="0" w:line="240" w:lineRule="auto"/>
              <w:rPr>
                <w:rFonts w:ascii="Calibri" w:eastAsia="Times New Roman" w:hAnsi="Calibri" w:cs="Times New Roman"/>
                <w:color w:val="000000"/>
                <w:sz w:val="20"/>
                <w:szCs w:val="20"/>
                <w:lang w:eastAsia="en-GB"/>
              </w:rPr>
            </w:pPr>
          </w:p>
        </w:tc>
        <w:tc>
          <w:tcPr>
            <w:tcW w:w="910" w:type="dxa"/>
            <w:tcBorders>
              <w:top w:val="nil"/>
              <w:left w:val="nil"/>
              <w:bottom w:val="single" w:sz="4" w:space="0" w:color="auto"/>
              <w:right w:val="single" w:sz="4" w:space="0" w:color="auto"/>
            </w:tcBorders>
            <w:shd w:val="clear" w:color="auto" w:fill="auto"/>
            <w:noWrap/>
            <w:vAlign w:val="center"/>
            <w:hideMark/>
          </w:tcPr>
          <w:p w:rsidR="00B35B9C" w:rsidRPr="00627CF2" w:rsidRDefault="00B35B9C" w:rsidP="00B35B9C">
            <w:pPr>
              <w:spacing w:after="0" w:line="240" w:lineRule="auto"/>
              <w:rPr>
                <w:rFonts w:ascii="Calibri" w:eastAsia="Times New Roman" w:hAnsi="Calibri" w:cs="Times New Roman"/>
                <w:color w:val="000000"/>
                <w:sz w:val="20"/>
                <w:szCs w:val="20"/>
                <w:lang w:eastAsia="en-GB"/>
              </w:rPr>
            </w:pPr>
          </w:p>
        </w:tc>
        <w:tc>
          <w:tcPr>
            <w:tcW w:w="1050" w:type="dxa"/>
            <w:tcBorders>
              <w:top w:val="nil"/>
              <w:left w:val="nil"/>
              <w:bottom w:val="single" w:sz="4" w:space="0" w:color="auto"/>
              <w:right w:val="single" w:sz="8" w:space="0" w:color="auto"/>
            </w:tcBorders>
            <w:shd w:val="clear" w:color="auto" w:fill="auto"/>
            <w:noWrap/>
            <w:vAlign w:val="center"/>
            <w:hideMark/>
          </w:tcPr>
          <w:p w:rsidR="00B35B9C" w:rsidRPr="00627CF2" w:rsidRDefault="00B35B9C" w:rsidP="00B35B9C">
            <w:pPr>
              <w:spacing w:after="0" w:line="240" w:lineRule="auto"/>
              <w:rPr>
                <w:rFonts w:ascii="Calibri" w:eastAsia="Times New Roman" w:hAnsi="Calibri" w:cs="Times New Roman"/>
                <w:color w:val="000000"/>
                <w:sz w:val="20"/>
                <w:szCs w:val="20"/>
                <w:lang w:eastAsia="en-GB"/>
              </w:rPr>
            </w:pPr>
          </w:p>
        </w:tc>
      </w:tr>
      <w:tr w:rsidR="00353173" w:rsidRPr="00627CF2" w:rsidTr="0021204E">
        <w:trPr>
          <w:trHeight w:val="878"/>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353173" w:rsidRDefault="00353173" w:rsidP="00B35B9C">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10.10</w:t>
            </w:r>
          </w:p>
        </w:tc>
        <w:tc>
          <w:tcPr>
            <w:tcW w:w="2586" w:type="dxa"/>
            <w:tcBorders>
              <w:top w:val="nil"/>
              <w:left w:val="nil"/>
              <w:bottom w:val="single" w:sz="4" w:space="0" w:color="auto"/>
              <w:right w:val="single" w:sz="4" w:space="0" w:color="auto"/>
            </w:tcBorders>
            <w:shd w:val="clear" w:color="auto" w:fill="auto"/>
            <w:vAlign w:val="center"/>
            <w:hideMark/>
          </w:tcPr>
          <w:p w:rsidR="00353173" w:rsidRDefault="00353173" w:rsidP="00B35B9C">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The proposed design isn’t buildable</w:t>
            </w:r>
          </w:p>
        </w:tc>
        <w:tc>
          <w:tcPr>
            <w:tcW w:w="1568" w:type="dxa"/>
            <w:tcBorders>
              <w:top w:val="nil"/>
              <w:left w:val="nil"/>
              <w:bottom w:val="single" w:sz="4" w:space="0" w:color="auto"/>
              <w:right w:val="single" w:sz="4" w:space="0" w:color="auto"/>
            </w:tcBorders>
            <w:shd w:val="clear" w:color="auto" w:fill="auto"/>
            <w:vAlign w:val="center"/>
            <w:hideMark/>
          </w:tcPr>
          <w:p w:rsidR="00353173" w:rsidRPr="00627CF2" w:rsidRDefault="00353173" w:rsidP="00B35B9C">
            <w:pPr>
              <w:spacing w:after="0" w:line="240" w:lineRule="auto"/>
              <w:jc w:val="center"/>
              <w:rPr>
                <w:rFonts w:ascii="Calibri" w:eastAsia="Times New Roman" w:hAnsi="Calibri" w:cs="Times New Roman"/>
                <w:b/>
                <w:bCs/>
                <w:color w:val="000000"/>
                <w:sz w:val="20"/>
                <w:szCs w:val="20"/>
                <w:lang w:eastAsia="en-GB"/>
              </w:rPr>
            </w:pPr>
          </w:p>
        </w:tc>
        <w:tc>
          <w:tcPr>
            <w:tcW w:w="1399" w:type="dxa"/>
            <w:tcBorders>
              <w:top w:val="nil"/>
              <w:left w:val="nil"/>
              <w:bottom w:val="single" w:sz="4" w:space="0" w:color="auto"/>
              <w:right w:val="single" w:sz="4" w:space="0" w:color="auto"/>
            </w:tcBorders>
            <w:shd w:val="clear" w:color="auto" w:fill="auto"/>
            <w:noWrap/>
            <w:vAlign w:val="center"/>
            <w:hideMark/>
          </w:tcPr>
          <w:p w:rsidR="00353173" w:rsidRPr="00627CF2" w:rsidRDefault="00353173" w:rsidP="00B35B9C">
            <w:pPr>
              <w:spacing w:after="0" w:line="240" w:lineRule="auto"/>
              <w:jc w:val="center"/>
              <w:rPr>
                <w:rFonts w:ascii="Calibri" w:eastAsia="Times New Roman" w:hAnsi="Calibri" w:cs="Times New Roman"/>
                <w:color w:val="000000"/>
                <w:sz w:val="20"/>
                <w:szCs w:val="20"/>
                <w:lang w:eastAsia="en-GB"/>
              </w:rPr>
            </w:pPr>
          </w:p>
        </w:tc>
        <w:tc>
          <w:tcPr>
            <w:tcW w:w="1288" w:type="dxa"/>
            <w:tcBorders>
              <w:top w:val="nil"/>
              <w:left w:val="nil"/>
              <w:bottom w:val="single" w:sz="4" w:space="0" w:color="auto"/>
              <w:right w:val="single" w:sz="4" w:space="0" w:color="auto"/>
            </w:tcBorders>
            <w:shd w:val="clear" w:color="auto" w:fill="auto"/>
            <w:noWrap/>
            <w:vAlign w:val="center"/>
            <w:hideMark/>
          </w:tcPr>
          <w:p w:rsidR="00353173" w:rsidRPr="00627CF2" w:rsidRDefault="00353173" w:rsidP="00B35B9C">
            <w:pPr>
              <w:spacing w:after="0" w:line="240" w:lineRule="auto"/>
              <w:jc w:val="center"/>
              <w:rPr>
                <w:rFonts w:ascii="Calibri" w:eastAsia="Times New Roman" w:hAnsi="Calibri" w:cs="Times New Roman"/>
                <w:color w:val="000000"/>
                <w:sz w:val="20"/>
                <w:szCs w:val="20"/>
                <w:lang w:eastAsia="en-GB"/>
              </w:rPr>
            </w:pPr>
          </w:p>
        </w:tc>
        <w:tc>
          <w:tcPr>
            <w:tcW w:w="854" w:type="dxa"/>
            <w:tcBorders>
              <w:top w:val="nil"/>
              <w:left w:val="nil"/>
              <w:bottom w:val="single" w:sz="4" w:space="0" w:color="auto"/>
              <w:right w:val="single" w:sz="4" w:space="0" w:color="auto"/>
            </w:tcBorders>
            <w:shd w:val="clear" w:color="auto" w:fill="auto"/>
            <w:noWrap/>
            <w:vAlign w:val="center"/>
            <w:hideMark/>
          </w:tcPr>
          <w:p w:rsidR="00353173" w:rsidRPr="00627CF2" w:rsidRDefault="00353173" w:rsidP="00B35B9C">
            <w:pPr>
              <w:spacing w:after="0" w:line="240" w:lineRule="auto"/>
              <w:jc w:val="center"/>
              <w:rPr>
                <w:rFonts w:ascii="Calibri" w:eastAsia="Times New Roman" w:hAnsi="Calibri" w:cs="Times New Roman"/>
                <w:color w:val="000000"/>
                <w:sz w:val="20"/>
                <w:szCs w:val="20"/>
                <w:lang w:eastAsia="en-GB"/>
              </w:rPr>
            </w:pPr>
          </w:p>
        </w:tc>
        <w:tc>
          <w:tcPr>
            <w:tcW w:w="2674" w:type="dxa"/>
            <w:tcBorders>
              <w:top w:val="nil"/>
              <w:left w:val="nil"/>
              <w:bottom w:val="single" w:sz="4" w:space="0" w:color="auto"/>
              <w:right w:val="single" w:sz="4" w:space="0" w:color="auto"/>
            </w:tcBorders>
            <w:shd w:val="clear" w:color="auto" w:fill="auto"/>
            <w:vAlign w:val="center"/>
            <w:hideMark/>
          </w:tcPr>
          <w:p w:rsidR="00353173" w:rsidRDefault="00353173" w:rsidP="00B35B9C">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 xml:space="preserve">Innovative design solutions should engage with contractors to ascertain </w:t>
            </w:r>
            <w:r w:rsidR="0021204E">
              <w:rPr>
                <w:rFonts w:ascii="Calibri" w:eastAsia="Times New Roman" w:hAnsi="Calibri" w:cs="Times New Roman"/>
                <w:color w:val="000000"/>
                <w:sz w:val="20"/>
                <w:szCs w:val="20"/>
                <w:lang w:eastAsia="en-GB"/>
              </w:rPr>
              <w:t>ease of construction</w:t>
            </w:r>
          </w:p>
        </w:tc>
        <w:tc>
          <w:tcPr>
            <w:tcW w:w="1567" w:type="dxa"/>
            <w:tcBorders>
              <w:top w:val="nil"/>
              <w:left w:val="nil"/>
              <w:bottom w:val="single" w:sz="4" w:space="0" w:color="auto"/>
              <w:right w:val="single" w:sz="4" w:space="0" w:color="auto"/>
            </w:tcBorders>
            <w:shd w:val="clear" w:color="auto" w:fill="auto"/>
            <w:noWrap/>
            <w:vAlign w:val="center"/>
            <w:hideMark/>
          </w:tcPr>
          <w:p w:rsidR="00353173" w:rsidRPr="00627CF2" w:rsidRDefault="00353173" w:rsidP="00B35B9C">
            <w:pPr>
              <w:spacing w:after="0" w:line="240" w:lineRule="auto"/>
              <w:rPr>
                <w:rFonts w:ascii="Calibri" w:eastAsia="Times New Roman" w:hAnsi="Calibri" w:cs="Times New Roman"/>
                <w:color w:val="000000"/>
                <w:sz w:val="20"/>
                <w:szCs w:val="20"/>
                <w:lang w:eastAsia="en-GB"/>
              </w:rPr>
            </w:pPr>
          </w:p>
        </w:tc>
        <w:tc>
          <w:tcPr>
            <w:tcW w:w="910" w:type="dxa"/>
            <w:tcBorders>
              <w:top w:val="nil"/>
              <w:left w:val="nil"/>
              <w:bottom w:val="single" w:sz="4" w:space="0" w:color="auto"/>
              <w:right w:val="single" w:sz="4" w:space="0" w:color="auto"/>
            </w:tcBorders>
            <w:shd w:val="clear" w:color="auto" w:fill="auto"/>
            <w:noWrap/>
            <w:vAlign w:val="center"/>
            <w:hideMark/>
          </w:tcPr>
          <w:p w:rsidR="00353173" w:rsidRPr="00627CF2" w:rsidRDefault="00353173" w:rsidP="00B35B9C">
            <w:pPr>
              <w:spacing w:after="0" w:line="240" w:lineRule="auto"/>
              <w:rPr>
                <w:rFonts w:ascii="Calibri" w:eastAsia="Times New Roman" w:hAnsi="Calibri" w:cs="Times New Roman"/>
                <w:color w:val="000000"/>
                <w:sz w:val="20"/>
                <w:szCs w:val="20"/>
                <w:lang w:eastAsia="en-GB"/>
              </w:rPr>
            </w:pPr>
          </w:p>
        </w:tc>
        <w:tc>
          <w:tcPr>
            <w:tcW w:w="1050" w:type="dxa"/>
            <w:tcBorders>
              <w:top w:val="nil"/>
              <w:left w:val="nil"/>
              <w:bottom w:val="single" w:sz="4" w:space="0" w:color="auto"/>
              <w:right w:val="single" w:sz="8" w:space="0" w:color="auto"/>
            </w:tcBorders>
            <w:shd w:val="clear" w:color="auto" w:fill="auto"/>
            <w:noWrap/>
            <w:vAlign w:val="center"/>
            <w:hideMark/>
          </w:tcPr>
          <w:p w:rsidR="00353173" w:rsidRPr="00627CF2" w:rsidRDefault="00353173" w:rsidP="00B35B9C">
            <w:pPr>
              <w:spacing w:after="0" w:line="240" w:lineRule="auto"/>
              <w:rPr>
                <w:rFonts w:ascii="Calibri" w:eastAsia="Times New Roman" w:hAnsi="Calibri" w:cs="Times New Roman"/>
                <w:color w:val="000000"/>
                <w:sz w:val="20"/>
                <w:szCs w:val="20"/>
                <w:lang w:eastAsia="en-GB"/>
              </w:rPr>
            </w:pPr>
          </w:p>
        </w:tc>
      </w:tr>
      <w:tr w:rsidR="00B35B9C" w:rsidRPr="00627CF2" w:rsidTr="00B35B9C">
        <w:trPr>
          <w:trHeight w:val="375"/>
        </w:trPr>
        <w:tc>
          <w:tcPr>
            <w:tcW w:w="4972" w:type="dxa"/>
            <w:gridSpan w:val="3"/>
            <w:tcBorders>
              <w:top w:val="single" w:sz="4" w:space="0" w:color="auto"/>
              <w:left w:val="single" w:sz="8" w:space="0" w:color="auto"/>
              <w:bottom w:val="single" w:sz="4" w:space="0" w:color="auto"/>
              <w:right w:val="single" w:sz="4" w:space="0" w:color="000000"/>
            </w:tcBorders>
            <w:shd w:val="clear" w:color="000000" w:fill="FFFF66"/>
            <w:noWrap/>
            <w:vAlign w:val="center"/>
            <w:hideMark/>
          </w:tcPr>
          <w:p w:rsidR="00B35B9C" w:rsidRPr="00627CF2" w:rsidRDefault="00B35B9C" w:rsidP="00B35B9C">
            <w:pPr>
              <w:spacing w:after="0" w:line="240" w:lineRule="auto"/>
              <w:rPr>
                <w:rFonts w:ascii="Calibri" w:eastAsia="Times New Roman" w:hAnsi="Calibri" w:cs="Times New Roman"/>
                <w:b/>
                <w:bCs/>
                <w:color w:val="000000"/>
                <w:sz w:val="28"/>
                <w:szCs w:val="28"/>
                <w:lang w:eastAsia="en-GB"/>
              </w:rPr>
            </w:pPr>
            <w:r w:rsidRPr="00627CF2">
              <w:rPr>
                <w:rFonts w:ascii="Calibri" w:eastAsia="Times New Roman" w:hAnsi="Calibri" w:cs="Times New Roman"/>
                <w:b/>
                <w:bCs/>
                <w:color w:val="000000"/>
                <w:sz w:val="28"/>
                <w:szCs w:val="28"/>
                <w:lang w:eastAsia="en-GB"/>
              </w:rPr>
              <w:t>CONSTRUCTION / PROPERTY RELATED RISKS</w:t>
            </w:r>
          </w:p>
        </w:tc>
        <w:tc>
          <w:tcPr>
            <w:tcW w:w="1399" w:type="dxa"/>
            <w:tcBorders>
              <w:top w:val="nil"/>
              <w:left w:val="nil"/>
              <w:bottom w:val="single" w:sz="4" w:space="0" w:color="auto"/>
              <w:right w:val="single" w:sz="4" w:space="0" w:color="auto"/>
            </w:tcBorders>
            <w:shd w:val="clear" w:color="auto" w:fill="auto"/>
            <w:noWrap/>
            <w:vAlign w:val="center"/>
            <w:hideMark/>
          </w:tcPr>
          <w:p w:rsidR="00B35B9C" w:rsidRPr="00627CF2" w:rsidRDefault="00B35B9C" w:rsidP="00B35B9C">
            <w:pPr>
              <w:spacing w:after="0" w:line="240" w:lineRule="auto"/>
              <w:rPr>
                <w:rFonts w:ascii="Calibri" w:eastAsia="Times New Roman" w:hAnsi="Calibri" w:cs="Times New Roman"/>
                <w:b/>
                <w:bCs/>
                <w:color w:val="000000"/>
                <w:sz w:val="28"/>
                <w:szCs w:val="28"/>
                <w:lang w:eastAsia="en-GB"/>
              </w:rPr>
            </w:pPr>
            <w:r w:rsidRPr="00627CF2">
              <w:rPr>
                <w:rFonts w:ascii="Calibri" w:eastAsia="Times New Roman" w:hAnsi="Calibri" w:cs="Times New Roman"/>
                <w:b/>
                <w:bCs/>
                <w:color w:val="000000"/>
                <w:sz w:val="28"/>
                <w:szCs w:val="28"/>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B35B9C" w:rsidRPr="00627CF2" w:rsidRDefault="00B35B9C" w:rsidP="00B35B9C">
            <w:pPr>
              <w:spacing w:after="0" w:line="240" w:lineRule="auto"/>
              <w:rPr>
                <w:rFonts w:ascii="Calibri" w:eastAsia="Times New Roman" w:hAnsi="Calibri" w:cs="Times New Roman"/>
                <w:b/>
                <w:bCs/>
                <w:color w:val="000000"/>
                <w:sz w:val="28"/>
                <w:szCs w:val="28"/>
                <w:lang w:eastAsia="en-GB"/>
              </w:rPr>
            </w:pPr>
            <w:r w:rsidRPr="00627CF2">
              <w:rPr>
                <w:rFonts w:ascii="Calibri" w:eastAsia="Times New Roman" w:hAnsi="Calibri" w:cs="Times New Roman"/>
                <w:b/>
                <w:bCs/>
                <w:color w:val="000000"/>
                <w:sz w:val="28"/>
                <w:szCs w:val="28"/>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B35B9C" w:rsidRPr="00627CF2" w:rsidRDefault="00B35B9C" w:rsidP="00B35B9C">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noWrap/>
            <w:vAlign w:val="center"/>
            <w:hideMark/>
          </w:tcPr>
          <w:p w:rsidR="00B35B9C" w:rsidRPr="00627CF2" w:rsidRDefault="00B35B9C" w:rsidP="00B35B9C">
            <w:pPr>
              <w:spacing w:after="0" w:line="240" w:lineRule="auto"/>
              <w:rPr>
                <w:rFonts w:ascii="Calibri" w:eastAsia="Times New Roman" w:hAnsi="Calibri" w:cs="Times New Roman"/>
                <w:b/>
                <w:bCs/>
                <w:color w:val="000000"/>
                <w:sz w:val="28"/>
                <w:szCs w:val="28"/>
                <w:lang w:eastAsia="en-GB"/>
              </w:rPr>
            </w:pPr>
            <w:r w:rsidRPr="00627CF2">
              <w:rPr>
                <w:rFonts w:ascii="Calibri" w:eastAsia="Times New Roman" w:hAnsi="Calibri" w:cs="Times New Roman"/>
                <w:b/>
                <w:bCs/>
                <w:color w:val="000000"/>
                <w:sz w:val="28"/>
                <w:szCs w:val="28"/>
                <w:lang w:eastAsia="en-GB"/>
              </w:rPr>
              <w:t> </w:t>
            </w:r>
          </w:p>
        </w:tc>
        <w:tc>
          <w:tcPr>
            <w:tcW w:w="1567" w:type="dxa"/>
            <w:tcBorders>
              <w:top w:val="nil"/>
              <w:left w:val="nil"/>
              <w:bottom w:val="single" w:sz="4" w:space="0" w:color="auto"/>
              <w:right w:val="single" w:sz="4" w:space="0" w:color="auto"/>
            </w:tcBorders>
            <w:shd w:val="clear" w:color="auto" w:fill="auto"/>
            <w:noWrap/>
            <w:vAlign w:val="center"/>
            <w:hideMark/>
          </w:tcPr>
          <w:p w:rsidR="00B35B9C" w:rsidRPr="00627CF2" w:rsidRDefault="00B35B9C" w:rsidP="00B35B9C">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B35B9C" w:rsidRPr="00627CF2" w:rsidRDefault="00B35B9C" w:rsidP="00B35B9C">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B35B9C" w:rsidRPr="00627CF2" w:rsidRDefault="00B35B9C" w:rsidP="00B35B9C">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B35B9C" w:rsidRPr="00627CF2" w:rsidTr="00B35B9C">
        <w:trPr>
          <w:trHeight w:val="255"/>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B35B9C" w:rsidRPr="00627CF2" w:rsidRDefault="00B35B9C" w:rsidP="00B35B9C">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11.0</w:t>
            </w:r>
          </w:p>
        </w:tc>
        <w:tc>
          <w:tcPr>
            <w:tcW w:w="2586" w:type="dxa"/>
            <w:tcBorders>
              <w:top w:val="nil"/>
              <w:left w:val="nil"/>
              <w:bottom w:val="single" w:sz="4" w:space="0" w:color="auto"/>
              <w:right w:val="single" w:sz="4" w:space="0" w:color="auto"/>
            </w:tcBorders>
            <w:shd w:val="clear" w:color="auto" w:fill="auto"/>
            <w:vAlign w:val="center"/>
            <w:hideMark/>
          </w:tcPr>
          <w:p w:rsidR="00B35B9C" w:rsidRPr="00627CF2" w:rsidRDefault="00B35B9C" w:rsidP="00B35B9C">
            <w:pPr>
              <w:spacing w:after="0" w:line="240" w:lineRule="auto"/>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Procurement risk</w:t>
            </w:r>
          </w:p>
        </w:tc>
        <w:tc>
          <w:tcPr>
            <w:tcW w:w="1568" w:type="dxa"/>
            <w:tcBorders>
              <w:top w:val="nil"/>
              <w:left w:val="nil"/>
              <w:bottom w:val="single" w:sz="4" w:space="0" w:color="auto"/>
              <w:right w:val="single" w:sz="4" w:space="0" w:color="auto"/>
            </w:tcBorders>
            <w:shd w:val="clear" w:color="auto" w:fill="auto"/>
            <w:vAlign w:val="center"/>
            <w:hideMark/>
          </w:tcPr>
          <w:p w:rsidR="00B35B9C" w:rsidRPr="00627CF2" w:rsidRDefault="00B35B9C" w:rsidP="00B35B9C">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B35B9C" w:rsidRPr="00627CF2" w:rsidRDefault="00B35B9C" w:rsidP="00B35B9C">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B35B9C" w:rsidRPr="00627CF2" w:rsidRDefault="00B35B9C" w:rsidP="00B35B9C">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B35B9C" w:rsidRPr="00627CF2" w:rsidRDefault="00B35B9C" w:rsidP="00B35B9C">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B35B9C" w:rsidRPr="00627CF2" w:rsidRDefault="00B35B9C" w:rsidP="00B35B9C">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567" w:type="dxa"/>
            <w:tcBorders>
              <w:top w:val="nil"/>
              <w:left w:val="nil"/>
              <w:bottom w:val="single" w:sz="4" w:space="0" w:color="auto"/>
              <w:right w:val="single" w:sz="4" w:space="0" w:color="auto"/>
            </w:tcBorders>
            <w:shd w:val="clear" w:color="auto" w:fill="auto"/>
            <w:noWrap/>
            <w:vAlign w:val="center"/>
            <w:hideMark/>
          </w:tcPr>
          <w:p w:rsidR="00B35B9C" w:rsidRPr="00627CF2" w:rsidRDefault="00B35B9C" w:rsidP="00B35B9C">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B35B9C" w:rsidRPr="00627CF2" w:rsidRDefault="00B35B9C" w:rsidP="00B35B9C">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B35B9C" w:rsidRPr="00627CF2" w:rsidRDefault="00B35B9C" w:rsidP="00B35B9C">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813AFA" w:rsidRPr="00627CF2" w:rsidTr="00813AFA">
        <w:trPr>
          <w:trHeight w:val="1030"/>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813AFA" w:rsidRPr="00627CF2" w:rsidRDefault="00813AFA" w:rsidP="00B35B9C">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11.5</w:t>
            </w:r>
          </w:p>
        </w:tc>
        <w:tc>
          <w:tcPr>
            <w:tcW w:w="2586" w:type="dxa"/>
            <w:tcBorders>
              <w:top w:val="nil"/>
              <w:left w:val="nil"/>
              <w:bottom w:val="single" w:sz="4" w:space="0" w:color="auto"/>
              <w:right w:val="single" w:sz="4" w:space="0" w:color="auto"/>
            </w:tcBorders>
            <w:shd w:val="clear" w:color="auto" w:fill="auto"/>
            <w:vAlign w:val="center"/>
            <w:hideMark/>
          </w:tcPr>
          <w:p w:rsidR="00813AFA" w:rsidRPr="00627CF2" w:rsidRDefault="00813AFA" w:rsidP="00B35B9C">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The planning and procurement of equipment is inadequate</w:t>
            </w:r>
          </w:p>
        </w:tc>
        <w:tc>
          <w:tcPr>
            <w:tcW w:w="1568" w:type="dxa"/>
            <w:tcBorders>
              <w:top w:val="nil"/>
              <w:left w:val="nil"/>
              <w:bottom w:val="single" w:sz="4" w:space="0" w:color="auto"/>
              <w:right w:val="single" w:sz="4" w:space="0" w:color="auto"/>
            </w:tcBorders>
            <w:shd w:val="clear" w:color="auto" w:fill="auto"/>
            <w:vAlign w:val="center"/>
            <w:hideMark/>
          </w:tcPr>
          <w:p w:rsidR="00813AFA" w:rsidRPr="00627CF2" w:rsidRDefault="00813AFA" w:rsidP="00B35B9C">
            <w:pPr>
              <w:spacing w:after="0" w:line="240" w:lineRule="auto"/>
              <w:jc w:val="center"/>
              <w:rPr>
                <w:rFonts w:ascii="Calibri" w:eastAsia="Times New Roman" w:hAnsi="Calibri" w:cs="Times New Roman"/>
                <w:b/>
                <w:bCs/>
                <w:color w:val="000000"/>
                <w:sz w:val="20"/>
                <w:szCs w:val="20"/>
                <w:lang w:eastAsia="en-GB"/>
              </w:rPr>
            </w:pPr>
          </w:p>
        </w:tc>
        <w:tc>
          <w:tcPr>
            <w:tcW w:w="1399" w:type="dxa"/>
            <w:tcBorders>
              <w:top w:val="nil"/>
              <w:left w:val="nil"/>
              <w:bottom w:val="single" w:sz="4" w:space="0" w:color="auto"/>
              <w:right w:val="single" w:sz="4" w:space="0" w:color="auto"/>
            </w:tcBorders>
            <w:shd w:val="clear" w:color="auto" w:fill="auto"/>
            <w:noWrap/>
            <w:vAlign w:val="center"/>
            <w:hideMark/>
          </w:tcPr>
          <w:p w:rsidR="00813AFA" w:rsidRPr="00627CF2" w:rsidRDefault="00813AFA" w:rsidP="00B35B9C">
            <w:pPr>
              <w:spacing w:after="0" w:line="240" w:lineRule="auto"/>
              <w:jc w:val="center"/>
              <w:rPr>
                <w:rFonts w:ascii="Calibri" w:eastAsia="Times New Roman" w:hAnsi="Calibri" w:cs="Times New Roman"/>
                <w:color w:val="000000"/>
                <w:sz w:val="20"/>
                <w:szCs w:val="20"/>
                <w:lang w:eastAsia="en-GB"/>
              </w:rPr>
            </w:pPr>
          </w:p>
        </w:tc>
        <w:tc>
          <w:tcPr>
            <w:tcW w:w="1288" w:type="dxa"/>
            <w:tcBorders>
              <w:top w:val="nil"/>
              <w:left w:val="nil"/>
              <w:bottom w:val="single" w:sz="4" w:space="0" w:color="auto"/>
              <w:right w:val="single" w:sz="4" w:space="0" w:color="auto"/>
            </w:tcBorders>
            <w:shd w:val="clear" w:color="auto" w:fill="auto"/>
            <w:noWrap/>
            <w:vAlign w:val="center"/>
            <w:hideMark/>
          </w:tcPr>
          <w:p w:rsidR="00813AFA" w:rsidRPr="00627CF2" w:rsidRDefault="00813AFA" w:rsidP="00B35B9C">
            <w:pPr>
              <w:spacing w:after="0" w:line="240" w:lineRule="auto"/>
              <w:jc w:val="center"/>
              <w:rPr>
                <w:rFonts w:ascii="Calibri" w:eastAsia="Times New Roman" w:hAnsi="Calibri" w:cs="Times New Roman"/>
                <w:color w:val="000000"/>
                <w:sz w:val="20"/>
                <w:szCs w:val="20"/>
                <w:lang w:eastAsia="en-GB"/>
              </w:rPr>
            </w:pPr>
          </w:p>
        </w:tc>
        <w:tc>
          <w:tcPr>
            <w:tcW w:w="854" w:type="dxa"/>
            <w:tcBorders>
              <w:top w:val="nil"/>
              <w:left w:val="nil"/>
              <w:bottom w:val="single" w:sz="4" w:space="0" w:color="auto"/>
              <w:right w:val="single" w:sz="4" w:space="0" w:color="auto"/>
            </w:tcBorders>
            <w:shd w:val="clear" w:color="auto" w:fill="auto"/>
            <w:noWrap/>
            <w:vAlign w:val="center"/>
            <w:hideMark/>
          </w:tcPr>
          <w:p w:rsidR="00813AFA" w:rsidRPr="00627CF2" w:rsidRDefault="00813AFA" w:rsidP="00B35B9C">
            <w:pPr>
              <w:spacing w:after="0" w:line="240" w:lineRule="auto"/>
              <w:jc w:val="center"/>
              <w:rPr>
                <w:rFonts w:ascii="Calibri" w:eastAsia="Times New Roman" w:hAnsi="Calibri" w:cs="Times New Roman"/>
                <w:color w:val="000000"/>
                <w:sz w:val="20"/>
                <w:szCs w:val="20"/>
                <w:lang w:eastAsia="en-GB"/>
              </w:rPr>
            </w:pPr>
          </w:p>
        </w:tc>
        <w:tc>
          <w:tcPr>
            <w:tcW w:w="2674" w:type="dxa"/>
            <w:tcBorders>
              <w:top w:val="nil"/>
              <w:left w:val="nil"/>
              <w:bottom w:val="single" w:sz="4" w:space="0" w:color="auto"/>
              <w:right w:val="single" w:sz="4" w:space="0" w:color="auto"/>
            </w:tcBorders>
            <w:shd w:val="clear" w:color="auto" w:fill="auto"/>
            <w:vAlign w:val="center"/>
            <w:hideMark/>
          </w:tcPr>
          <w:p w:rsidR="00813AFA" w:rsidRPr="00627CF2" w:rsidRDefault="00813AFA" w:rsidP="00B35B9C">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Ensure that the procurement of equipment is part of the project implementation plan</w:t>
            </w:r>
          </w:p>
        </w:tc>
        <w:tc>
          <w:tcPr>
            <w:tcW w:w="1567" w:type="dxa"/>
            <w:tcBorders>
              <w:top w:val="nil"/>
              <w:left w:val="nil"/>
              <w:bottom w:val="single" w:sz="4" w:space="0" w:color="auto"/>
              <w:right w:val="single" w:sz="4" w:space="0" w:color="auto"/>
            </w:tcBorders>
            <w:shd w:val="clear" w:color="auto" w:fill="auto"/>
            <w:noWrap/>
            <w:vAlign w:val="center"/>
            <w:hideMark/>
          </w:tcPr>
          <w:p w:rsidR="00813AFA" w:rsidRPr="00627CF2" w:rsidRDefault="00813AFA" w:rsidP="00B35B9C">
            <w:pPr>
              <w:spacing w:after="0" w:line="240" w:lineRule="auto"/>
              <w:rPr>
                <w:rFonts w:ascii="Calibri" w:eastAsia="Times New Roman" w:hAnsi="Calibri" w:cs="Times New Roman"/>
                <w:color w:val="000000"/>
                <w:sz w:val="20"/>
                <w:szCs w:val="20"/>
                <w:lang w:eastAsia="en-GB"/>
              </w:rPr>
            </w:pPr>
          </w:p>
        </w:tc>
        <w:tc>
          <w:tcPr>
            <w:tcW w:w="910" w:type="dxa"/>
            <w:tcBorders>
              <w:top w:val="nil"/>
              <w:left w:val="nil"/>
              <w:bottom w:val="single" w:sz="4" w:space="0" w:color="auto"/>
              <w:right w:val="single" w:sz="4" w:space="0" w:color="auto"/>
            </w:tcBorders>
            <w:shd w:val="clear" w:color="auto" w:fill="auto"/>
            <w:noWrap/>
            <w:vAlign w:val="center"/>
            <w:hideMark/>
          </w:tcPr>
          <w:p w:rsidR="00813AFA" w:rsidRPr="00627CF2" w:rsidRDefault="00813AFA" w:rsidP="00B35B9C">
            <w:pPr>
              <w:spacing w:after="0" w:line="240" w:lineRule="auto"/>
              <w:rPr>
                <w:rFonts w:ascii="Calibri" w:eastAsia="Times New Roman" w:hAnsi="Calibri" w:cs="Times New Roman"/>
                <w:color w:val="000000"/>
                <w:sz w:val="20"/>
                <w:szCs w:val="20"/>
                <w:lang w:eastAsia="en-GB"/>
              </w:rPr>
            </w:pPr>
          </w:p>
        </w:tc>
        <w:tc>
          <w:tcPr>
            <w:tcW w:w="1050" w:type="dxa"/>
            <w:tcBorders>
              <w:top w:val="nil"/>
              <w:left w:val="nil"/>
              <w:bottom w:val="single" w:sz="4" w:space="0" w:color="auto"/>
              <w:right w:val="single" w:sz="8" w:space="0" w:color="auto"/>
            </w:tcBorders>
            <w:shd w:val="clear" w:color="auto" w:fill="auto"/>
            <w:noWrap/>
            <w:vAlign w:val="center"/>
            <w:hideMark/>
          </w:tcPr>
          <w:p w:rsidR="00813AFA" w:rsidRPr="00627CF2" w:rsidRDefault="00813AFA" w:rsidP="00B35B9C">
            <w:pPr>
              <w:spacing w:after="0" w:line="240" w:lineRule="auto"/>
              <w:rPr>
                <w:rFonts w:ascii="Calibri" w:eastAsia="Times New Roman" w:hAnsi="Calibri" w:cs="Times New Roman"/>
                <w:color w:val="000000"/>
                <w:sz w:val="20"/>
                <w:szCs w:val="20"/>
                <w:lang w:eastAsia="en-GB"/>
              </w:rPr>
            </w:pPr>
          </w:p>
        </w:tc>
      </w:tr>
      <w:tr w:rsidR="00B35B9C" w:rsidRPr="00627CF2" w:rsidTr="00B35B9C">
        <w:trPr>
          <w:trHeight w:val="255"/>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B35B9C" w:rsidRPr="00627CF2" w:rsidRDefault="00B35B9C" w:rsidP="00B35B9C">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12.0</w:t>
            </w:r>
          </w:p>
        </w:tc>
        <w:tc>
          <w:tcPr>
            <w:tcW w:w="2586" w:type="dxa"/>
            <w:tcBorders>
              <w:top w:val="nil"/>
              <w:left w:val="nil"/>
              <w:bottom w:val="single" w:sz="4" w:space="0" w:color="auto"/>
              <w:right w:val="single" w:sz="4" w:space="0" w:color="auto"/>
            </w:tcBorders>
            <w:shd w:val="clear" w:color="auto" w:fill="auto"/>
            <w:vAlign w:val="center"/>
            <w:hideMark/>
          </w:tcPr>
          <w:p w:rsidR="00B35B9C" w:rsidRPr="00627CF2" w:rsidRDefault="00B35B9C" w:rsidP="00B35B9C">
            <w:pPr>
              <w:spacing w:after="0" w:line="240" w:lineRule="auto"/>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Construction risk</w:t>
            </w:r>
          </w:p>
        </w:tc>
        <w:tc>
          <w:tcPr>
            <w:tcW w:w="1568" w:type="dxa"/>
            <w:tcBorders>
              <w:top w:val="nil"/>
              <w:left w:val="nil"/>
              <w:bottom w:val="single" w:sz="4" w:space="0" w:color="auto"/>
              <w:right w:val="single" w:sz="4" w:space="0" w:color="auto"/>
            </w:tcBorders>
            <w:shd w:val="clear" w:color="auto" w:fill="auto"/>
            <w:vAlign w:val="center"/>
            <w:hideMark/>
          </w:tcPr>
          <w:p w:rsidR="00B35B9C" w:rsidRPr="00627CF2" w:rsidRDefault="00B35B9C" w:rsidP="00B35B9C">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B35B9C" w:rsidRPr="00627CF2" w:rsidRDefault="00B35B9C" w:rsidP="00B35B9C">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B35B9C" w:rsidRPr="00627CF2" w:rsidRDefault="00B35B9C" w:rsidP="00B35B9C">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B35B9C" w:rsidRPr="00627CF2" w:rsidRDefault="00B35B9C" w:rsidP="00B35B9C">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B35B9C" w:rsidRPr="00627CF2" w:rsidRDefault="00B35B9C" w:rsidP="00B35B9C">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567" w:type="dxa"/>
            <w:tcBorders>
              <w:top w:val="nil"/>
              <w:left w:val="nil"/>
              <w:bottom w:val="single" w:sz="4" w:space="0" w:color="auto"/>
              <w:right w:val="single" w:sz="4" w:space="0" w:color="auto"/>
            </w:tcBorders>
            <w:shd w:val="clear" w:color="auto" w:fill="auto"/>
            <w:noWrap/>
            <w:vAlign w:val="center"/>
            <w:hideMark/>
          </w:tcPr>
          <w:p w:rsidR="00B35B9C" w:rsidRPr="00627CF2" w:rsidRDefault="00B35B9C" w:rsidP="00B35B9C">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B35B9C" w:rsidRPr="00627CF2" w:rsidRDefault="00B35B9C" w:rsidP="00B35B9C">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B35B9C" w:rsidRPr="00627CF2" w:rsidRDefault="00B35B9C" w:rsidP="00B35B9C">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B35B9C" w:rsidRPr="00627CF2" w:rsidTr="00B35B9C">
        <w:trPr>
          <w:trHeight w:val="1275"/>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B35B9C" w:rsidRPr="00627CF2" w:rsidRDefault="00B35B9C" w:rsidP="00B35B9C">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12.4</w:t>
            </w:r>
          </w:p>
        </w:tc>
        <w:tc>
          <w:tcPr>
            <w:tcW w:w="2586" w:type="dxa"/>
            <w:tcBorders>
              <w:top w:val="nil"/>
              <w:left w:val="nil"/>
              <w:bottom w:val="single" w:sz="4" w:space="0" w:color="auto"/>
              <w:right w:val="single" w:sz="4" w:space="0" w:color="auto"/>
            </w:tcBorders>
            <w:shd w:val="clear" w:color="auto" w:fill="auto"/>
            <w:vAlign w:val="center"/>
            <w:hideMark/>
          </w:tcPr>
          <w:p w:rsidR="00B35B9C" w:rsidRPr="00627CF2" w:rsidRDefault="00B35B9C" w:rsidP="00B35B9C">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The works do not pass required project inspections / audits</w:t>
            </w:r>
          </w:p>
        </w:tc>
        <w:tc>
          <w:tcPr>
            <w:tcW w:w="1568" w:type="dxa"/>
            <w:tcBorders>
              <w:top w:val="nil"/>
              <w:left w:val="nil"/>
              <w:bottom w:val="single" w:sz="4" w:space="0" w:color="auto"/>
              <w:right w:val="single" w:sz="4" w:space="0" w:color="auto"/>
            </w:tcBorders>
            <w:shd w:val="clear" w:color="auto" w:fill="auto"/>
            <w:vAlign w:val="center"/>
            <w:hideMark/>
          </w:tcPr>
          <w:p w:rsidR="00B35B9C" w:rsidRPr="00627CF2" w:rsidRDefault="00B35B9C" w:rsidP="00B35B9C">
            <w:pPr>
              <w:spacing w:after="0" w:line="240" w:lineRule="auto"/>
              <w:jc w:val="center"/>
              <w:rPr>
                <w:rFonts w:ascii="Calibri" w:eastAsia="Times New Roman" w:hAnsi="Calibri" w:cs="Times New Roman"/>
                <w:b/>
                <w:bCs/>
                <w:color w:val="000000"/>
                <w:sz w:val="20"/>
                <w:szCs w:val="20"/>
                <w:lang w:eastAsia="en-GB"/>
              </w:rPr>
            </w:pPr>
            <w:r w:rsidRPr="00627CF2">
              <w:rPr>
                <w:rFonts w:ascii="Calibri" w:eastAsia="Times New Roman" w:hAnsi="Calibri" w:cs="Times New Roman"/>
                <w:b/>
                <w:bCs/>
                <w:color w:val="000000"/>
                <w:sz w:val="20"/>
                <w:szCs w:val="20"/>
                <w:lang w:eastAsia="en-GB"/>
              </w:rPr>
              <w:t> </w:t>
            </w:r>
          </w:p>
        </w:tc>
        <w:tc>
          <w:tcPr>
            <w:tcW w:w="1399" w:type="dxa"/>
            <w:tcBorders>
              <w:top w:val="nil"/>
              <w:left w:val="nil"/>
              <w:bottom w:val="single" w:sz="4" w:space="0" w:color="auto"/>
              <w:right w:val="single" w:sz="4" w:space="0" w:color="auto"/>
            </w:tcBorders>
            <w:shd w:val="clear" w:color="auto" w:fill="auto"/>
            <w:noWrap/>
            <w:vAlign w:val="center"/>
            <w:hideMark/>
          </w:tcPr>
          <w:p w:rsidR="00B35B9C" w:rsidRPr="00627CF2" w:rsidRDefault="00B35B9C" w:rsidP="00B35B9C">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288" w:type="dxa"/>
            <w:tcBorders>
              <w:top w:val="nil"/>
              <w:left w:val="nil"/>
              <w:bottom w:val="single" w:sz="4" w:space="0" w:color="auto"/>
              <w:right w:val="single" w:sz="4" w:space="0" w:color="auto"/>
            </w:tcBorders>
            <w:shd w:val="clear" w:color="auto" w:fill="auto"/>
            <w:noWrap/>
            <w:vAlign w:val="center"/>
            <w:hideMark/>
          </w:tcPr>
          <w:p w:rsidR="00B35B9C" w:rsidRPr="00627CF2" w:rsidRDefault="00B35B9C" w:rsidP="00B35B9C">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854" w:type="dxa"/>
            <w:tcBorders>
              <w:top w:val="nil"/>
              <w:left w:val="nil"/>
              <w:bottom w:val="single" w:sz="4" w:space="0" w:color="auto"/>
              <w:right w:val="single" w:sz="4" w:space="0" w:color="auto"/>
            </w:tcBorders>
            <w:shd w:val="clear" w:color="auto" w:fill="auto"/>
            <w:noWrap/>
            <w:vAlign w:val="center"/>
            <w:hideMark/>
          </w:tcPr>
          <w:p w:rsidR="00B35B9C" w:rsidRPr="00627CF2" w:rsidRDefault="00B35B9C" w:rsidP="00B35B9C">
            <w:pPr>
              <w:spacing w:after="0" w:line="240" w:lineRule="auto"/>
              <w:jc w:val="center"/>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2674" w:type="dxa"/>
            <w:tcBorders>
              <w:top w:val="nil"/>
              <w:left w:val="nil"/>
              <w:bottom w:val="single" w:sz="4" w:space="0" w:color="auto"/>
              <w:right w:val="single" w:sz="4" w:space="0" w:color="auto"/>
            </w:tcBorders>
            <w:shd w:val="clear" w:color="auto" w:fill="auto"/>
            <w:vAlign w:val="center"/>
            <w:hideMark/>
          </w:tcPr>
          <w:p w:rsidR="00B35B9C" w:rsidRPr="00627CF2" w:rsidRDefault="00B35B9C" w:rsidP="00B35B9C">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Arrangements for monitoring quality expectations from the works should be explained in the FBC and implemented appropriately</w:t>
            </w:r>
          </w:p>
        </w:tc>
        <w:tc>
          <w:tcPr>
            <w:tcW w:w="1567" w:type="dxa"/>
            <w:tcBorders>
              <w:top w:val="nil"/>
              <w:left w:val="nil"/>
              <w:bottom w:val="single" w:sz="4" w:space="0" w:color="auto"/>
              <w:right w:val="single" w:sz="4" w:space="0" w:color="auto"/>
            </w:tcBorders>
            <w:shd w:val="clear" w:color="auto" w:fill="auto"/>
            <w:noWrap/>
            <w:vAlign w:val="center"/>
            <w:hideMark/>
          </w:tcPr>
          <w:p w:rsidR="00B35B9C" w:rsidRPr="00627CF2" w:rsidRDefault="00B35B9C" w:rsidP="00B35B9C">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910" w:type="dxa"/>
            <w:tcBorders>
              <w:top w:val="nil"/>
              <w:left w:val="nil"/>
              <w:bottom w:val="single" w:sz="4" w:space="0" w:color="auto"/>
              <w:right w:val="single" w:sz="4" w:space="0" w:color="auto"/>
            </w:tcBorders>
            <w:shd w:val="clear" w:color="auto" w:fill="auto"/>
            <w:noWrap/>
            <w:vAlign w:val="center"/>
            <w:hideMark/>
          </w:tcPr>
          <w:p w:rsidR="00B35B9C" w:rsidRPr="00627CF2" w:rsidRDefault="00B35B9C" w:rsidP="00B35B9C">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c>
          <w:tcPr>
            <w:tcW w:w="1050" w:type="dxa"/>
            <w:tcBorders>
              <w:top w:val="nil"/>
              <w:left w:val="nil"/>
              <w:bottom w:val="single" w:sz="4" w:space="0" w:color="auto"/>
              <w:right w:val="single" w:sz="8" w:space="0" w:color="auto"/>
            </w:tcBorders>
            <w:shd w:val="clear" w:color="auto" w:fill="auto"/>
            <w:noWrap/>
            <w:vAlign w:val="center"/>
            <w:hideMark/>
          </w:tcPr>
          <w:p w:rsidR="00B35B9C" w:rsidRPr="00627CF2" w:rsidRDefault="00B35B9C" w:rsidP="00B35B9C">
            <w:pPr>
              <w:spacing w:after="0" w:line="240" w:lineRule="auto"/>
              <w:rPr>
                <w:rFonts w:ascii="Calibri" w:eastAsia="Times New Roman" w:hAnsi="Calibri" w:cs="Times New Roman"/>
                <w:color w:val="000000"/>
                <w:sz w:val="20"/>
                <w:szCs w:val="20"/>
                <w:lang w:eastAsia="en-GB"/>
              </w:rPr>
            </w:pPr>
            <w:r w:rsidRPr="00627CF2">
              <w:rPr>
                <w:rFonts w:ascii="Calibri" w:eastAsia="Times New Roman" w:hAnsi="Calibri" w:cs="Times New Roman"/>
                <w:color w:val="000000"/>
                <w:sz w:val="20"/>
                <w:szCs w:val="20"/>
                <w:lang w:eastAsia="en-GB"/>
              </w:rPr>
              <w:t> </w:t>
            </w:r>
          </w:p>
        </w:tc>
      </w:tr>
      <w:tr w:rsidR="00353173" w:rsidRPr="00627CF2" w:rsidTr="00B35B9C">
        <w:trPr>
          <w:trHeight w:val="1275"/>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353173" w:rsidRPr="00627CF2" w:rsidRDefault="00353173" w:rsidP="00B35B9C">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lastRenderedPageBreak/>
              <w:t>12.5</w:t>
            </w:r>
          </w:p>
        </w:tc>
        <w:tc>
          <w:tcPr>
            <w:tcW w:w="2586" w:type="dxa"/>
            <w:tcBorders>
              <w:top w:val="nil"/>
              <w:left w:val="nil"/>
              <w:bottom w:val="single" w:sz="4" w:space="0" w:color="auto"/>
              <w:right w:val="single" w:sz="4" w:space="0" w:color="auto"/>
            </w:tcBorders>
            <w:shd w:val="clear" w:color="auto" w:fill="auto"/>
            <w:vAlign w:val="center"/>
            <w:hideMark/>
          </w:tcPr>
          <w:p w:rsidR="00353173" w:rsidRPr="00627CF2" w:rsidRDefault="00353173" w:rsidP="00B35B9C">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Person safety and security is compromised during the construction stage</w:t>
            </w:r>
          </w:p>
        </w:tc>
        <w:tc>
          <w:tcPr>
            <w:tcW w:w="1568" w:type="dxa"/>
            <w:tcBorders>
              <w:top w:val="nil"/>
              <w:left w:val="nil"/>
              <w:bottom w:val="single" w:sz="4" w:space="0" w:color="auto"/>
              <w:right w:val="single" w:sz="4" w:space="0" w:color="auto"/>
            </w:tcBorders>
            <w:shd w:val="clear" w:color="auto" w:fill="auto"/>
            <w:vAlign w:val="center"/>
            <w:hideMark/>
          </w:tcPr>
          <w:p w:rsidR="00353173" w:rsidRPr="00627CF2" w:rsidRDefault="00353173" w:rsidP="00B35B9C">
            <w:pPr>
              <w:spacing w:after="0" w:line="240" w:lineRule="auto"/>
              <w:jc w:val="center"/>
              <w:rPr>
                <w:rFonts w:ascii="Calibri" w:eastAsia="Times New Roman" w:hAnsi="Calibri" w:cs="Times New Roman"/>
                <w:b/>
                <w:bCs/>
                <w:color w:val="000000"/>
                <w:sz w:val="20"/>
                <w:szCs w:val="20"/>
                <w:lang w:eastAsia="en-GB"/>
              </w:rPr>
            </w:pPr>
          </w:p>
        </w:tc>
        <w:tc>
          <w:tcPr>
            <w:tcW w:w="1399" w:type="dxa"/>
            <w:tcBorders>
              <w:top w:val="nil"/>
              <w:left w:val="nil"/>
              <w:bottom w:val="single" w:sz="4" w:space="0" w:color="auto"/>
              <w:right w:val="single" w:sz="4" w:space="0" w:color="auto"/>
            </w:tcBorders>
            <w:shd w:val="clear" w:color="auto" w:fill="auto"/>
            <w:noWrap/>
            <w:vAlign w:val="center"/>
            <w:hideMark/>
          </w:tcPr>
          <w:p w:rsidR="00353173" w:rsidRPr="00627CF2" w:rsidRDefault="00353173" w:rsidP="00B35B9C">
            <w:pPr>
              <w:spacing w:after="0" w:line="240" w:lineRule="auto"/>
              <w:jc w:val="center"/>
              <w:rPr>
                <w:rFonts w:ascii="Calibri" w:eastAsia="Times New Roman" w:hAnsi="Calibri" w:cs="Times New Roman"/>
                <w:color w:val="000000"/>
                <w:sz w:val="20"/>
                <w:szCs w:val="20"/>
                <w:lang w:eastAsia="en-GB"/>
              </w:rPr>
            </w:pPr>
          </w:p>
        </w:tc>
        <w:tc>
          <w:tcPr>
            <w:tcW w:w="1288" w:type="dxa"/>
            <w:tcBorders>
              <w:top w:val="nil"/>
              <w:left w:val="nil"/>
              <w:bottom w:val="single" w:sz="4" w:space="0" w:color="auto"/>
              <w:right w:val="single" w:sz="4" w:space="0" w:color="auto"/>
            </w:tcBorders>
            <w:shd w:val="clear" w:color="auto" w:fill="auto"/>
            <w:noWrap/>
            <w:vAlign w:val="center"/>
            <w:hideMark/>
          </w:tcPr>
          <w:p w:rsidR="00353173" w:rsidRPr="00627CF2" w:rsidRDefault="00353173" w:rsidP="00B35B9C">
            <w:pPr>
              <w:spacing w:after="0" w:line="240" w:lineRule="auto"/>
              <w:jc w:val="center"/>
              <w:rPr>
                <w:rFonts w:ascii="Calibri" w:eastAsia="Times New Roman" w:hAnsi="Calibri" w:cs="Times New Roman"/>
                <w:color w:val="000000"/>
                <w:sz w:val="20"/>
                <w:szCs w:val="20"/>
                <w:lang w:eastAsia="en-GB"/>
              </w:rPr>
            </w:pPr>
          </w:p>
        </w:tc>
        <w:tc>
          <w:tcPr>
            <w:tcW w:w="854" w:type="dxa"/>
            <w:tcBorders>
              <w:top w:val="nil"/>
              <w:left w:val="nil"/>
              <w:bottom w:val="single" w:sz="4" w:space="0" w:color="auto"/>
              <w:right w:val="single" w:sz="4" w:space="0" w:color="auto"/>
            </w:tcBorders>
            <w:shd w:val="clear" w:color="auto" w:fill="auto"/>
            <w:noWrap/>
            <w:vAlign w:val="center"/>
            <w:hideMark/>
          </w:tcPr>
          <w:p w:rsidR="00353173" w:rsidRPr="00627CF2" w:rsidRDefault="00353173" w:rsidP="00B35B9C">
            <w:pPr>
              <w:spacing w:after="0" w:line="240" w:lineRule="auto"/>
              <w:jc w:val="center"/>
              <w:rPr>
                <w:rFonts w:ascii="Calibri" w:eastAsia="Times New Roman" w:hAnsi="Calibri" w:cs="Times New Roman"/>
                <w:color w:val="000000"/>
                <w:sz w:val="20"/>
                <w:szCs w:val="20"/>
                <w:lang w:eastAsia="en-GB"/>
              </w:rPr>
            </w:pPr>
          </w:p>
        </w:tc>
        <w:tc>
          <w:tcPr>
            <w:tcW w:w="2674" w:type="dxa"/>
            <w:tcBorders>
              <w:top w:val="nil"/>
              <w:left w:val="nil"/>
              <w:bottom w:val="single" w:sz="4" w:space="0" w:color="auto"/>
              <w:right w:val="single" w:sz="4" w:space="0" w:color="auto"/>
            </w:tcBorders>
            <w:shd w:val="clear" w:color="auto" w:fill="auto"/>
            <w:vAlign w:val="center"/>
            <w:hideMark/>
          </w:tcPr>
          <w:p w:rsidR="00353173" w:rsidRPr="00627CF2" w:rsidRDefault="00353173" w:rsidP="00353173">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All construction health &amp; safety standards should be controlled as part of CDM procedures &amp; regulations</w:t>
            </w:r>
          </w:p>
        </w:tc>
        <w:tc>
          <w:tcPr>
            <w:tcW w:w="1567" w:type="dxa"/>
            <w:tcBorders>
              <w:top w:val="nil"/>
              <w:left w:val="nil"/>
              <w:bottom w:val="single" w:sz="4" w:space="0" w:color="auto"/>
              <w:right w:val="single" w:sz="4" w:space="0" w:color="auto"/>
            </w:tcBorders>
            <w:shd w:val="clear" w:color="auto" w:fill="auto"/>
            <w:noWrap/>
            <w:vAlign w:val="center"/>
            <w:hideMark/>
          </w:tcPr>
          <w:p w:rsidR="00353173" w:rsidRPr="00627CF2" w:rsidRDefault="00353173" w:rsidP="00B35B9C">
            <w:pPr>
              <w:spacing w:after="0" w:line="240" w:lineRule="auto"/>
              <w:rPr>
                <w:rFonts w:ascii="Calibri" w:eastAsia="Times New Roman" w:hAnsi="Calibri" w:cs="Times New Roman"/>
                <w:color w:val="000000"/>
                <w:sz w:val="20"/>
                <w:szCs w:val="20"/>
                <w:lang w:eastAsia="en-GB"/>
              </w:rPr>
            </w:pPr>
          </w:p>
        </w:tc>
        <w:tc>
          <w:tcPr>
            <w:tcW w:w="910" w:type="dxa"/>
            <w:tcBorders>
              <w:top w:val="nil"/>
              <w:left w:val="nil"/>
              <w:bottom w:val="single" w:sz="4" w:space="0" w:color="auto"/>
              <w:right w:val="single" w:sz="4" w:space="0" w:color="auto"/>
            </w:tcBorders>
            <w:shd w:val="clear" w:color="auto" w:fill="auto"/>
            <w:noWrap/>
            <w:vAlign w:val="center"/>
            <w:hideMark/>
          </w:tcPr>
          <w:p w:rsidR="00353173" w:rsidRPr="00627CF2" w:rsidRDefault="00353173" w:rsidP="00B35B9C">
            <w:pPr>
              <w:spacing w:after="0" w:line="240" w:lineRule="auto"/>
              <w:rPr>
                <w:rFonts w:ascii="Calibri" w:eastAsia="Times New Roman" w:hAnsi="Calibri" w:cs="Times New Roman"/>
                <w:color w:val="000000"/>
                <w:sz w:val="20"/>
                <w:szCs w:val="20"/>
                <w:lang w:eastAsia="en-GB"/>
              </w:rPr>
            </w:pPr>
          </w:p>
        </w:tc>
        <w:tc>
          <w:tcPr>
            <w:tcW w:w="1050" w:type="dxa"/>
            <w:tcBorders>
              <w:top w:val="nil"/>
              <w:left w:val="nil"/>
              <w:bottom w:val="single" w:sz="4" w:space="0" w:color="auto"/>
              <w:right w:val="single" w:sz="8" w:space="0" w:color="auto"/>
            </w:tcBorders>
            <w:shd w:val="clear" w:color="auto" w:fill="auto"/>
            <w:noWrap/>
            <w:vAlign w:val="center"/>
            <w:hideMark/>
          </w:tcPr>
          <w:p w:rsidR="00353173" w:rsidRPr="00627CF2" w:rsidRDefault="00353173" w:rsidP="00B35B9C">
            <w:pPr>
              <w:spacing w:after="0" w:line="240" w:lineRule="auto"/>
              <w:rPr>
                <w:rFonts w:ascii="Calibri" w:eastAsia="Times New Roman" w:hAnsi="Calibri" w:cs="Times New Roman"/>
                <w:color w:val="000000"/>
                <w:sz w:val="20"/>
                <w:szCs w:val="20"/>
                <w:lang w:eastAsia="en-GB"/>
              </w:rPr>
            </w:pPr>
          </w:p>
        </w:tc>
      </w:tr>
      <w:tr w:rsidR="00353173" w:rsidRPr="00627CF2" w:rsidTr="00B35B9C">
        <w:trPr>
          <w:trHeight w:val="1275"/>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353173" w:rsidRDefault="0021204E" w:rsidP="00B35B9C">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12.6</w:t>
            </w:r>
          </w:p>
        </w:tc>
        <w:tc>
          <w:tcPr>
            <w:tcW w:w="2586" w:type="dxa"/>
            <w:tcBorders>
              <w:top w:val="nil"/>
              <w:left w:val="nil"/>
              <w:bottom w:val="single" w:sz="4" w:space="0" w:color="auto"/>
              <w:right w:val="single" w:sz="4" w:space="0" w:color="auto"/>
            </w:tcBorders>
            <w:shd w:val="clear" w:color="auto" w:fill="auto"/>
            <w:vAlign w:val="center"/>
            <w:hideMark/>
          </w:tcPr>
          <w:p w:rsidR="00353173" w:rsidRDefault="0021204E" w:rsidP="00B35B9C">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Unforeseen events occur during construction</w:t>
            </w:r>
          </w:p>
        </w:tc>
        <w:tc>
          <w:tcPr>
            <w:tcW w:w="1568" w:type="dxa"/>
            <w:tcBorders>
              <w:top w:val="nil"/>
              <w:left w:val="nil"/>
              <w:bottom w:val="single" w:sz="4" w:space="0" w:color="auto"/>
              <w:right w:val="single" w:sz="4" w:space="0" w:color="auto"/>
            </w:tcBorders>
            <w:shd w:val="clear" w:color="auto" w:fill="auto"/>
            <w:vAlign w:val="center"/>
            <w:hideMark/>
          </w:tcPr>
          <w:p w:rsidR="00353173" w:rsidRPr="00627CF2" w:rsidRDefault="00353173" w:rsidP="00B35B9C">
            <w:pPr>
              <w:spacing w:after="0" w:line="240" w:lineRule="auto"/>
              <w:jc w:val="center"/>
              <w:rPr>
                <w:rFonts w:ascii="Calibri" w:eastAsia="Times New Roman" w:hAnsi="Calibri" w:cs="Times New Roman"/>
                <w:b/>
                <w:bCs/>
                <w:color w:val="000000"/>
                <w:sz w:val="20"/>
                <w:szCs w:val="20"/>
                <w:lang w:eastAsia="en-GB"/>
              </w:rPr>
            </w:pPr>
          </w:p>
        </w:tc>
        <w:tc>
          <w:tcPr>
            <w:tcW w:w="1399" w:type="dxa"/>
            <w:tcBorders>
              <w:top w:val="nil"/>
              <w:left w:val="nil"/>
              <w:bottom w:val="single" w:sz="4" w:space="0" w:color="auto"/>
              <w:right w:val="single" w:sz="4" w:space="0" w:color="auto"/>
            </w:tcBorders>
            <w:shd w:val="clear" w:color="auto" w:fill="auto"/>
            <w:noWrap/>
            <w:vAlign w:val="center"/>
            <w:hideMark/>
          </w:tcPr>
          <w:p w:rsidR="00353173" w:rsidRPr="00627CF2" w:rsidRDefault="00353173" w:rsidP="00B35B9C">
            <w:pPr>
              <w:spacing w:after="0" w:line="240" w:lineRule="auto"/>
              <w:jc w:val="center"/>
              <w:rPr>
                <w:rFonts w:ascii="Calibri" w:eastAsia="Times New Roman" w:hAnsi="Calibri" w:cs="Times New Roman"/>
                <w:color w:val="000000"/>
                <w:sz w:val="20"/>
                <w:szCs w:val="20"/>
                <w:lang w:eastAsia="en-GB"/>
              </w:rPr>
            </w:pPr>
          </w:p>
        </w:tc>
        <w:tc>
          <w:tcPr>
            <w:tcW w:w="1288" w:type="dxa"/>
            <w:tcBorders>
              <w:top w:val="nil"/>
              <w:left w:val="nil"/>
              <w:bottom w:val="single" w:sz="4" w:space="0" w:color="auto"/>
              <w:right w:val="single" w:sz="4" w:space="0" w:color="auto"/>
            </w:tcBorders>
            <w:shd w:val="clear" w:color="auto" w:fill="auto"/>
            <w:noWrap/>
            <w:vAlign w:val="center"/>
            <w:hideMark/>
          </w:tcPr>
          <w:p w:rsidR="00353173" w:rsidRPr="00627CF2" w:rsidRDefault="00353173" w:rsidP="00B35B9C">
            <w:pPr>
              <w:spacing w:after="0" w:line="240" w:lineRule="auto"/>
              <w:jc w:val="center"/>
              <w:rPr>
                <w:rFonts w:ascii="Calibri" w:eastAsia="Times New Roman" w:hAnsi="Calibri" w:cs="Times New Roman"/>
                <w:color w:val="000000"/>
                <w:sz w:val="20"/>
                <w:szCs w:val="20"/>
                <w:lang w:eastAsia="en-GB"/>
              </w:rPr>
            </w:pPr>
          </w:p>
        </w:tc>
        <w:tc>
          <w:tcPr>
            <w:tcW w:w="854" w:type="dxa"/>
            <w:tcBorders>
              <w:top w:val="nil"/>
              <w:left w:val="nil"/>
              <w:bottom w:val="single" w:sz="4" w:space="0" w:color="auto"/>
              <w:right w:val="single" w:sz="4" w:space="0" w:color="auto"/>
            </w:tcBorders>
            <w:shd w:val="clear" w:color="auto" w:fill="auto"/>
            <w:noWrap/>
            <w:vAlign w:val="center"/>
            <w:hideMark/>
          </w:tcPr>
          <w:p w:rsidR="00353173" w:rsidRPr="00627CF2" w:rsidRDefault="00353173" w:rsidP="00B35B9C">
            <w:pPr>
              <w:spacing w:after="0" w:line="240" w:lineRule="auto"/>
              <w:jc w:val="center"/>
              <w:rPr>
                <w:rFonts w:ascii="Calibri" w:eastAsia="Times New Roman" w:hAnsi="Calibri" w:cs="Times New Roman"/>
                <w:color w:val="000000"/>
                <w:sz w:val="20"/>
                <w:szCs w:val="20"/>
                <w:lang w:eastAsia="en-GB"/>
              </w:rPr>
            </w:pPr>
          </w:p>
        </w:tc>
        <w:tc>
          <w:tcPr>
            <w:tcW w:w="2674" w:type="dxa"/>
            <w:tcBorders>
              <w:top w:val="nil"/>
              <w:left w:val="nil"/>
              <w:bottom w:val="single" w:sz="4" w:space="0" w:color="auto"/>
              <w:right w:val="single" w:sz="4" w:space="0" w:color="auto"/>
            </w:tcBorders>
            <w:shd w:val="clear" w:color="auto" w:fill="auto"/>
            <w:vAlign w:val="center"/>
            <w:hideMark/>
          </w:tcPr>
          <w:p w:rsidR="00353173" w:rsidRDefault="0021204E" w:rsidP="00353173">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These eventualities should form part of the contract clauses</w:t>
            </w:r>
          </w:p>
        </w:tc>
        <w:tc>
          <w:tcPr>
            <w:tcW w:w="1567" w:type="dxa"/>
            <w:tcBorders>
              <w:top w:val="nil"/>
              <w:left w:val="nil"/>
              <w:bottom w:val="single" w:sz="4" w:space="0" w:color="auto"/>
              <w:right w:val="single" w:sz="4" w:space="0" w:color="auto"/>
            </w:tcBorders>
            <w:shd w:val="clear" w:color="auto" w:fill="auto"/>
            <w:noWrap/>
            <w:vAlign w:val="center"/>
            <w:hideMark/>
          </w:tcPr>
          <w:p w:rsidR="00353173" w:rsidRPr="00627CF2" w:rsidRDefault="00353173" w:rsidP="00B35B9C">
            <w:pPr>
              <w:spacing w:after="0" w:line="240" w:lineRule="auto"/>
              <w:rPr>
                <w:rFonts w:ascii="Calibri" w:eastAsia="Times New Roman" w:hAnsi="Calibri" w:cs="Times New Roman"/>
                <w:color w:val="000000"/>
                <w:sz w:val="20"/>
                <w:szCs w:val="20"/>
                <w:lang w:eastAsia="en-GB"/>
              </w:rPr>
            </w:pPr>
          </w:p>
        </w:tc>
        <w:tc>
          <w:tcPr>
            <w:tcW w:w="910" w:type="dxa"/>
            <w:tcBorders>
              <w:top w:val="nil"/>
              <w:left w:val="nil"/>
              <w:bottom w:val="single" w:sz="4" w:space="0" w:color="auto"/>
              <w:right w:val="single" w:sz="4" w:space="0" w:color="auto"/>
            </w:tcBorders>
            <w:shd w:val="clear" w:color="auto" w:fill="auto"/>
            <w:noWrap/>
            <w:vAlign w:val="center"/>
            <w:hideMark/>
          </w:tcPr>
          <w:p w:rsidR="00353173" w:rsidRPr="00627CF2" w:rsidRDefault="00353173" w:rsidP="00B35B9C">
            <w:pPr>
              <w:spacing w:after="0" w:line="240" w:lineRule="auto"/>
              <w:rPr>
                <w:rFonts w:ascii="Calibri" w:eastAsia="Times New Roman" w:hAnsi="Calibri" w:cs="Times New Roman"/>
                <w:color w:val="000000"/>
                <w:sz w:val="20"/>
                <w:szCs w:val="20"/>
                <w:lang w:eastAsia="en-GB"/>
              </w:rPr>
            </w:pPr>
          </w:p>
        </w:tc>
        <w:tc>
          <w:tcPr>
            <w:tcW w:w="1050" w:type="dxa"/>
            <w:tcBorders>
              <w:top w:val="nil"/>
              <w:left w:val="nil"/>
              <w:bottom w:val="single" w:sz="4" w:space="0" w:color="auto"/>
              <w:right w:val="single" w:sz="8" w:space="0" w:color="auto"/>
            </w:tcBorders>
            <w:shd w:val="clear" w:color="auto" w:fill="auto"/>
            <w:noWrap/>
            <w:vAlign w:val="center"/>
            <w:hideMark/>
          </w:tcPr>
          <w:p w:rsidR="00353173" w:rsidRPr="00627CF2" w:rsidRDefault="00353173" w:rsidP="00B35B9C">
            <w:pPr>
              <w:spacing w:after="0" w:line="240" w:lineRule="auto"/>
              <w:rPr>
                <w:rFonts w:ascii="Calibri" w:eastAsia="Times New Roman" w:hAnsi="Calibri" w:cs="Times New Roman"/>
                <w:color w:val="000000"/>
                <w:sz w:val="20"/>
                <w:szCs w:val="20"/>
                <w:lang w:eastAsia="en-GB"/>
              </w:rPr>
            </w:pPr>
          </w:p>
        </w:tc>
      </w:tr>
      <w:tr w:rsidR="0021204E" w:rsidRPr="00627CF2" w:rsidTr="00B35B9C">
        <w:trPr>
          <w:trHeight w:val="1275"/>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21204E" w:rsidRDefault="0021204E" w:rsidP="00B35B9C">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12.7</w:t>
            </w:r>
          </w:p>
        </w:tc>
        <w:tc>
          <w:tcPr>
            <w:tcW w:w="2586" w:type="dxa"/>
            <w:tcBorders>
              <w:top w:val="nil"/>
              <w:left w:val="nil"/>
              <w:bottom w:val="single" w:sz="4" w:space="0" w:color="auto"/>
              <w:right w:val="single" w:sz="4" w:space="0" w:color="auto"/>
            </w:tcBorders>
            <w:shd w:val="clear" w:color="auto" w:fill="auto"/>
            <w:vAlign w:val="center"/>
            <w:hideMark/>
          </w:tcPr>
          <w:p w:rsidR="0021204E" w:rsidRDefault="0021204E" w:rsidP="00B35B9C">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There are delays in gaining access to the site</w:t>
            </w:r>
          </w:p>
        </w:tc>
        <w:tc>
          <w:tcPr>
            <w:tcW w:w="1568" w:type="dxa"/>
            <w:tcBorders>
              <w:top w:val="nil"/>
              <w:left w:val="nil"/>
              <w:bottom w:val="single" w:sz="4" w:space="0" w:color="auto"/>
              <w:right w:val="single" w:sz="4" w:space="0" w:color="auto"/>
            </w:tcBorders>
            <w:shd w:val="clear" w:color="auto" w:fill="auto"/>
            <w:vAlign w:val="center"/>
            <w:hideMark/>
          </w:tcPr>
          <w:p w:rsidR="0021204E" w:rsidRPr="00627CF2" w:rsidRDefault="0021204E" w:rsidP="00B35B9C">
            <w:pPr>
              <w:spacing w:after="0" w:line="240" w:lineRule="auto"/>
              <w:jc w:val="center"/>
              <w:rPr>
                <w:rFonts w:ascii="Calibri" w:eastAsia="Times New Roman" w:hAnsi="Calibri" w:cs="Times New Roman"/>
                <w:b/>
                <w:bCs/>
                <w:color w:val="000000"/>
                <w:sz w:val="20"/>
                <w:szCs w:val="20"/>
                <w:lang w:eastAsia="en-GB"/>
              </w:rPr>
            </w:pPr>
          </w:p>
        </w:tc>
        <w:tc>
          <w:tcPr>
            <w:tcW w:w="1399" w:type="dxa"/>
            <w:tcBorders>
              <w:top w:val="nil"/>
              <w:left w:val="nil"/>
              <w:bottom w:val="single" w:sz="4" w:space="0" w:color="auto"/>
              <w:right w:val="single" w:sz="4" w:space="0" w:color="auto"/>
            </w:tcBorders>
            <w:shd w:val="clear" w:color="auto" w:fill="auto"/>
            <w:noWrap/>
            <w:vAlign w:val="center"/>
            <w:hideMark/>
          </w:tcPr>
          <w:p w:rsidR="0021204E" w:rsidRPr="00627CF2" w:rsidRDefault="0021204E" w:rsidP="00B35B9C">
            <w:pPr>
              <w:spacing w:after="0" w:line="240" w:lineRule="auto"/>
              <w:jc w:val="center"/>
              <w:rPr>
                <w:rFonts w:ascii="Calibri" w:eastAsia="Times New Roman" w:hAnsi="Calibri" w:cs="Times New Roman"/>
                <w:color w:val="000000"/>
                <w:sz w:val="20"/>
                <w:szCs w:val="20"/>
                <w:lang w:eastAsia="en-GB"/>
              </w:rPr>
            </w:pPr>
          </w:p>
        </w:tc>
        <w:tc>
          <w:tcPr>
            <w:tcW w:w="1288" w:type="dxa"/>
            <w:tcBorders>
              <w:top w:val="nil"/>
              <w:left w:val="nil"/>
              <w:bottom w:val="single" w:sz="4" w:space="0" w:color="auto"/>
              <w:right w:val="single" w:sz="4" w:space="0" w:color="auto"/>
            </w:tcBorders>
            <w:shd w:val="clear" w:color="auto" w:fill="auto"/>
            <w:noWrap/>
            <w:vAlign w:val="center"/>
            <w:hideMark/>
          </w:tcPr>
          <w:p w:rsidR="0021204E" w:rsidRPr="00627CF2" w:rsidRDefault="0021204E" w:rsidP="00B35B9C">
            <w:pPr>
              <w:spacing w:after="0" w:line="240" w:lineRule="auto"/>
              <w:jc w:val="center"/>
              <w:rPr>
                <w:rFonts w:ascii="Calibri" w:eastAsia="Times New Roman" w:hAnsi="Calibri" w:cs="Times New Roman"/>
                <w:color w:val="000000"/>
                <w:sz w:val="20"/>
                <w:szCs w:val="20"/>
                <w:lang w:eastAsia="en-GB"/>
              </w:rPr>
            </w:pPr>
          </w:p>
        </w:tc>
        <w:tc>
          <w:tcPr>
            <w:tcW w:w="854" w:type="dxa"/>
            <w:tcBorders>
              <w:top w:val="nil"/>
              <w:left w:val="nil"/>
              <w:bottom w:val="single" w:sz="4" w:space="0" w:color="auto"/>
              <w:right w:val="single" w:sz="4" w:space="0" w:color="auto"/>
            </w:tcBorders>
            <w:shd w:val="clear" w:color="auto" w:fill="auto"/>
            <w:noWrap/>
            <w:vAlign w:val="center"/>
            <w:hideMark/>
          </w:tcPr>
          <w:p w:rsidR="0021204E" w:rsidRPr="00627CF2" w:rsidRDefault="0021204E" w:rsidP="00B35B9C">
            <w:pPr>
              <w:spacing w:after="0" w:line="240" w:lineRule="auto"/>
              <w:jc w:val="center"/>
              <w:rPr>
                <w:rFonts w:ascii="Calibri" w:eastAsia="Times New Roman" w:hAnsi="Calibri" w:cs="Times New Roman"/>
                <w:color w:val="000000"/>
                <w:sz w:val="20"/>
                <w:szCs w:val="20"/>
                <w:lang w:eastAsia="en-GB"/>
              </w:rPr>
            </w:pPr>
          </w:p>
        </w:tc>
        <w:tc>
          <w:tcPr>
            <w:tcW w:w="2674" w:type="dxa"/>
            <w:tcBorders>
              <w:top w:val="nil"/>
              <w:left w:val="nil"/>
              <w:bottom w:val="single" w:sz="4" w:space="0" w:color="auto"/>
              <w:right w:val="single" w:sz="4" w:space="0" w:color="auto"/>
            </w:tcBorders>
            <w:shd w:val="clear" w:color="auto" w:fill="auto"/>
            <w:vAlign w:val="center"/>
            <w:hideMark/>
          </w:tcPr>
          <w:p w:rsidR="0021204E" w:rsidRDefault="0021204E" w:rsidP="0021204E">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Set out within the project execution plan how and when access will be available, any permissions required, any dependencies, and who needs to be consulted</w:t>
            </w:r>
          </w:p>
        </w:tc>
        <w:tc>
          <w:tcPr>
            <w:tcW w:w="1567" w:type="dxa"/>
            <w:tcBorders>
              <w:top w:val="nil"/>
              <w:left w:val="nil"/>
              <w:bottom w:val="single" w:sz="4" w:space="0" w:color="auto"/>
              <w:right w:val="single" w:sz="4" w:space="0" w:color="auto"/>
            </w:tcBorders>
            <w:shd w:val="clear" w:color="auto" w:fill="auto"/>
            <w:noWrap/>
            <w:vAlign w:val="center"/>
            <w:hideMark/>
          </w:tcPr>
          <w:p w:rsidR="0021204E" w:rsidRPr="00627CF2" w:rsidRDefault="0021204E" w:rsidP="00B35B9C">
            <w:pPr>
              <w:spacing w:after="0" w:line="240" w:lineRule="auto"/>
              <w:rPr>
                <w:rFonts w:ascii="Calibri" w:eastAsia="Times New Roman" w:hAnsi="Calibri" w:cs="Times New Roman"/>
                <w:color w:val="000000"/>
                <w:sz w:val="20"/>
                <w:szCs w:val="20"/>
                <w:lang w:eastAsia="en-GB"/>
              </w:rPr>
            </w:pPr>
          </w:p>
        </w:tc>
        <w:tc>
          <w:tcPr>
            <w:tcW w:w="910" w:type="dxa"/>
            <w:tcBorders>
              <w:top w:val="nil"/>
              <w:left w:val="nil"/>
              <w:bottom w:val="single" w:sz="4" w:space="0" w:color="auto"/>
              <w:right w:val="single" w:sz="4" w:space="0" w:color="auto"/>
            </w:tcBorders>
            <w:shd w:val="clear" w:color="auto" w:fill="auto"/>
            <w:noWrap/>
            <w:vAlign w:val="center"/>
            <w:hideMark/>
          </w:tcPr>
          <w:p w:rsidR="0021204E" w:rsidRPr="00627CF2" w:rsidRDefault="0021204E" w:rsidP="00B35B9C">
            <w:pPr>
              <w:spacing w:after="0" w:line="240" w:lineRule="auto"/>
              <w:rPr>
                <w:rFonts w:ascii="Calibri" w:eastAsia="Times New Roman" w:hAnsi="Calibri" w:cs="Times New Roman"/>
                <w:color w:val="000000"/>
                <w:sz w:val="20"/>
                <w:szCs w:val="20"/>
                <w:lang w:eastAsia="en-GB"/>
              </w:rPr>
            </w:pPr>
          </w:p>
        </w:tc>
        <w:tc>
          <w:tcPr>
            <w:tcW w:w="1050" w:type="dxa"/>
            <w:tcBorders>
              <w:top w:val="nil"/>
              <w:left w:val="nil"/>
              <w:bottom w:val="single" w:sz="4" w:space="0" w:color="auto"/>
              <w:right w:val="single" w:sz="8" w:space="0" w:color="auto"/>
            </w:tcBorders>
            <w:shd w:val="clear" w:color="auto" w:fill="auto"/>
            <w:noWrap/>
            <w:vAlign w:val="center"/>
            <w:hideMark/>
          </w:tcPr>
          <w:p w:rsidR="0021204E" w:rsidRPr="00627CF2" w:rsidRDefault="0021204E" w:rsidP="00B35B9C">
            <w:pPr>
              <w:spacing w:after="0" w:line="240" w:lineRule="auto"/>
              <w:rPr>
                <w:rFonts w:ascii="Calibri" w:eastAsia="Times New Roman" w:hAnsi="Calibri" w:cs="Times New Roman"/>
                <w:color w:val="000000"/>
                <w:sz w:val="20"/>
                <w:szCs w:val="20"/>
                <w:lang w:eastAsia="en-GB"/>
              </w:rPr>
            </w:pPr>
          </w:p>
        </w:tc>
      </w:tr>
      <w:tr w:rsidR="0021204E" w:rsidRPr="00627CF2" w:rsidTr="00B35B9C">
        <w:trPr>
          <w:trHeight w:val="1275"/>
        </w:trPr>
        <w:tc>
          <w:tcPr>
            <w:tcW w:w="818" w:type="dxa"/>
            <w:tcBorders>
              <w:top w:val="nil"/>
              <w:left w:val="single" w:sz="8" w:space="0" w:color="auto"/>
              <w:bottom w:val="single" w:sz="4" w:space="0" w:color="auto"/>
              <w:right w:val="single" w:sz="4" w:space="0" w:color="auto"/>
            </w:tcBorders>
            <w:shd w:val="clear" w:color="auto" w:fill="auto"/>
            <w:noWrap/>
            <w:vAlign w:val="center"/>
            <w:hideMark/>
          </w:tcPr>
          <w:p w:rsidR="0021204E" w:rsidRDefault="0021204E" w:rsidP="00B35B9C">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12.8</w:t>
            </w:r>
          </w:p>
        </w:tc>
        <w:tc>
          <w:tcPr>
            <w:tcW w:w="2586" w:type="dxa"/>
            <w:tcBorders>
              <w:top w:val="nil"/>
              <w:left w:val="nil"/>
              <w:bottom w:val="single" w:sz="4" w:space="0" w:color="auto"/>
              <w:right w:val="single" w:sz="4" w:space="0" w:color="auto"/>
            </w:tcBorders>
            <w:shd w:val="clear" w:color="auto" w:fill="auto"/>
            <w:vAlign w:val="center"/>
            <w:hideMark/>
          </w:tcPr>
          <w:p w:rsidR="0021204E" w:rsidRDefault="00767CEB" w:rsidP="00B35B9C">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 xml:space="preserve">Contractors don’t have the capacity, capability or appropriate resources to deliver the project </w:t>
            </w:r>
          </w:p>
        </w:tc>
        <w:tc>
          <w:tcPr>
            <w:tcW w:w="1568" w:type="dxa"/>
            <w:tcBorders>
              <w:top w:val="nil"/>
              <w:left w:val="nil"/>
              <w:bottom w:val="single" w:sz="4" w:space="0" w:color="auto"/>
              <w:right w:val="single" w:sz="4" w:space="0" w:color="auto"/>
            </w:tcBorders>
            <w:shd w:val="clear" w:color="auto" w:fill="auto"/>
            <w:vAlign w:val="center"/>
            <w:hideMark/>
          </w:tcPr>
          <w:p w:rsidR="0021204E" w:rsidRPr="00627CF2" w:rsidRDefault="0021204E" w:rsidP="00B35B9C">
            <w:pPr>
              <w:spacing w:after="0" w:line="240" w:lineRule="auto"/>
              <w:jc w:val="center"/>
              <w:rPr>
                <w:rFonts w:ascii="Calibri" w:eastAsia="Times New Roman" w:hAnsi="Calibri" w:cs="Times New Roman"/>
                <w:b/>
                <w:bCs/>
                <w:color w:val="000000"/>
                <w:sz w:val="20"/>
                <w:szCs w:val="20"/>
                <w:lang w:eastAsia="en-GB"/>
              </w:rPr>
            </w:pPr>
          </w:p>
        </w:tc>
        <w:tc>
          <w:tcPr>
            <w:tcW w:w="1399" w:type="dxa"/>
            <w:tcBorders>
              <w:top w:val="nil"/>
              <w:left w:val="nil"/>
              <w:bottom w:val="single" w:sz="4" w:space="0" w:color="auto"/>
              <w:right w:val="single" w:sz="4" w:space="0" w:color="auto"/>
            </w:tcBorders>
            <w:shd w:val="clear" w:color="auto" w:fill="auto"/>
            <w:noWrap/>
            <w:vAlign w:val="center"/>
            <w:hideMark/>
          </w:tcPr>
          <w:p w:rsidR="0021204E" w:rsidRPr="00627CF2" w:rsidRDefault="0021204E" w:rsidP="00B35B9C">
            <w:pPr>
              <w:spacing w:after="0" w:line="240" w:lineRule="auto"/>
              <w:jc w:val="center"/>
              <w:rPr>
                <w:rFonts w:ascii="Calibri" w:eastAsia="Times New Roman" w:hAnsi="Calibri" w:cs="Times New Roman"/>
                <w:color w:val="000000"/>
                <w:sz w:val="20"/>
                <w:szCs w:val="20"/>
                <w:lang w:eastAsia="en-GB"/>
              </w:rPr>
            </w:pPr>
          </w:p>
        </w:tc>
        <w:tc>
          <w:tcPr>
            <w:tcW w:w="1288" w:type="dxa"/>
            <w:tcBorders>
              <w:top w:val="nil"/>
              <w:left w:val="nil"/>
              <w:bottom w:val="single" w:sz="4" w:space="0" w:color="auto"/>
              <w:right w:val="single" w:sz="4" w:space="0" w:color="auto"/>
            </w:tcBorders>
            <w:shd w:val="clear" w:color="auto" w:fill="auto"/>
            <w:noWrap/>
            <w:vAlign w:val="center"/>
            <w:hideMark/>
          </w:tcPr>
          <w:p w:rsidR="0021204E" w:rsidRPr="00627CF2" w:rsidRDefault="0021204E" w:rsidP="00B35B9C">
            <w:pPr>
              <w:spacing w:after="0" w:line="240" w:lineRule="auto"/>
              <w:jc w:val="center"/>
              <w:rPr>
                <w:rFonts w:ascii="Calibri" w:eastAsia="Times New Roman" w:hAnsi="Calibri" w:cs="Times New Roman"/>
                <w:color w:val="000000"/>
                <w:sz w:val="20"/>
                <w:szCs w:val="20"/>
                <w:lang w:eastAsia="en-GB"/>
              </w:rPr>
            </w:pPr>
          </w:p>
        </w:tc>
        <w:tc>
          <w:tcPr>
            <w:tcW w:w="854" w:type="dxa"/>
            <w:tcBorders>
              <w:top w:val="nil"/>
              <w:left w:val="nil"/>
              <w:bottom w:val="single" w:sz="4" w:space="0" w:color="auto"/>
              <w:right w:val="single" w:sz="4" w:space="0" w:color="auto"/>
            </w:tcBorders>
            <w:shd w:val="clear" w:color="auto" w:fill="auto"/>
            <w:noWrap/>
            <w:vAlign w:val="center"/>
            <w:hideMark/>
          </w:tcPr>
          <w:p w:rsidR="0021204E" w:rsidRPr="00627CF2" w:rsidRDefault="0021204E" w:rsidP="00B35B9C">
            <w:pPr>
              <w:spacing w:after="0" w:line="240" w:lineRule="auto"/>
              <w:jc w:val="center"/>
              <w:rPr>
                <w:rFonts w:ascii="Calibri" w:eastAsia="Times New Roman" w:hAnsi="Calibri" w:cs="Times New Roman"/>
                <w:color w:val="000000"/>
                <w:sz w:val="20"/>
                <w:szCs w:val="20"/>
                <w:lang w:eastAsia="en-GB"/>
              </w:rPr>
            </w:pPr>
          </w:p>
        </w:tc>
        <w:tc>
          <w:tcPr>
            <w:tcW w:w="2674" w:type="dxa"/>
            <w:tcBorders>
              <w:top w:val="nil"/>
              <w:left w:val="nil"/>
              <w:bottom w:val="single" w:sz="4" w:space="0" w:color="auto"/>
              <w:right w:val="single" w:sz="4" w:space="0" w:color="auto"/>
            </w:tcBorders>
            <w:shd w:val="clear" w:color="auto" w:fill="auto"/>
            <w:vAlign w:val="center"/>
            <w:hideMark/>
          </w:tcPr>
          <w:p w:rsidR="0021204E" w:rsidRDefault="00767CEB" w:rsidP="0021204E">
            <w:pPr>
              <w:spacing w:after="0" w:line="240" w:lineRule="auto"/>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This should form part of a detailed scrutiny process prior to contractor selection</w:t>
            </w:r>
          </w:p>
        </w:tc>
        <w:tc>
          <w:tcPr>
            <w:tcW w:w="1567" w:type="dxa"/>
            <w:tcBorders>
              <w:top w:val="nil"/>
              <w:left w:val="nil"/>
              <w:bottom w:val="single" w:sz="4" w:space="0" w:color="auto"/>
              <w:right w:val="single" w:sz="4" w:space="0" w:color="auto"/>
            </w:tcBorders>
            <w:shd w:val="clear" w:color="auto" w:fill="auto"/>
            <w:noWrap/>
            <w:vAlign w:val="center"/>
            <w:hideMark/>
          </w:tcPr>
          <w:p w:rsidR="0021204E" w:rsidRPr="00627CF2" w:rsidRDefault="0021204E" w:rsidP="00B35B9C">
            <w:pPr>
              <w:spacing w:after="0" w:line="240" w:lineRule="auto"/>
              <w:rPr>
                <w:rFonts w:ascii="Calibri" w:eastAsia="Times New Roman" w:hAnsi="Calibri" w:cs="Times New Roman"/>
                <w:color w:val="000000"/>
                <w:sz w:val="20"/>
                <w:szCs w:val="20"/>
                <w:lang w:eastAsia="en-GB"/>
              </w:rPr>
            </w:pPr>
          </w:p>
        </w:tc>
        <w:tc>
          <w:tcPr>
            <w:tcW w:w="910" w:type="dxa"/>
            <w:tcBorders>
              <w:top w:val="nil"/>
              <w:left w:val="nil"/>
              <w:bottom w:val="single" w:sz="4" w:space="0" w:color="auto"/>
              <w:right w:val="single" w:sz="4" w:space="0" w:color="auto"/>
            </w:tcBorders>
            <w:shd w:val="clear" w:color="auto" w:fill="auto"/>
            <w:noWrap/>
            <w:vAlign w:val="center"/>
            <w:hideMark/>
          </w:tcPr>
          <w:p w:rsidR="0021204E" w:rsidRPr="00627CF2" w:rsidRDefault="0021204E" w:rsidP="00B35B9C">
            <w:pPr>
              <w:spacing w:after="0" w:line="240" w:lineRule="auto"/>
              <w:rPr>
                <w:rFonts w:ascii="Calibri" w:eastAsia="Times New Roman" w:hAnsi="Calibri" w:cs="Times New Roman"/>
                <w:color w:val="000000"/>
                <w:sz w:val="20"/>
                <w:szCs w:val="20"/>
                <w:lang w:eastAsia="en-GB"/>
              </w:rPr>
            </w:pPr>
          </w:p>
        </w:tc>
        <w:tc>
          <w:tcPr>
            <w:tcW w:w="1050" w:type="dxa"/>
            <w:tcBorders>
              <w:top w:val="nil"/>
              <w:left w:val="nil"/>
              <w:bottom w:val="single" w:sz="4" w:space="0" w:color="auto"/>
              <w:right w:val="single" w:sz="8" w:space="0" w:color="auto"/>
            </w:tcBorders>
            <w:shd w:val="clear" w:color="auto" w:fill="auto"/>
            <w:noWrap/>
            <w:vAlign w:val="center"/>
            <w:hideMark/>
          </w:tcPr>
          <w:p w:rsidR="0021204E" w:rsidRPr="00627CF2" w:rsidRDefault="0021204E" w:rsidP="00B35B9C">
            <w:pPr>
              <w:spacing w:after="0" w:line="240" w:lineRule="auto"/>
              <w:rPr>
                <w:rFonts w:ascii="Calibri" w:eastAsia="Times New Roman" w:hAnsi="Calibri" w:cs="Times New Roman"/>
                <w:color w:val="000000"/>
                <w:sz w:val="20"/>
                <w:szCs w:val="20"/>
                <w:lang w:eastAsia="en-GB"/>
              </w:rPr>
            </w:pPr>
          </w:p>
        </w:tc>
      </w:tr>
    </w:tbl>
    <w:p w:rsidR="00B35B9C" w:rsidRPr="00B35B9C" w:rsidRDefault="00B35B9C" w:rsidP="00B35B9C">
      <w:pPr>
        <w:pStyle w:val="Standardparagraph"/>
        <w:rPr>
          <w:lang w:eastAsia="en-GB"/>
        </w:rPr>
      </w:pPr>
    </w:p>
    <w:sectPr w:rsidR="00B35B9C" w:rsidRPr="00B35B9C" w:rsidSect="00CC204A">
      <w:footerReference w:type="default" r:id="rId26"/>
      <w:pgSz w:w="16838" w:h="11906" w:orient="landscape"/>
      <w:pgMar w:top="851" w:right="1440" w:bottom="851" w:left="136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C94" w:rsidRDefault="00ED5C94" w:rsidP="009724D8">
      <w:pPr>
        <w:spacing w:after="0" w:line="240" w:lineRule="auto"/>
      </w:pPr>
      <w:r>
        <w:separator/>
      </w:r>
    </w:p>
  </w:endnote>
  <w:endnote w:type="continuationSeparator" w:id="0">
    <w:p w:rsidR="00ED5C94" w:rsidRDefault="00ED5C94" w:rsidP="009724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 Pro">
    <w:altName w:val="Malgun Gothic"/>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C94" w:rsidRPr="00863426" w:rsidRDefault="00ED5C94">
    <w:pPr>
      <w:pStyle w:val="Footer"/>
      <w:rPr>
        <w:rFonts w:ascii="Arial" w:hAnsi="Arial" w:cs="Arial"/>
      </w:rPr>
    </w:pPr>
    <w:r>
      <w:tab/>
    </w:r>
    <w:r>
      <w:tab/>
    </w:r>
    <w:r w:rsidRPr="00863426">
      <w:rPr>
        <w:rFonts w:ascii="Arial" w:hAnsi="Arial" w:cs="Arial"/>
      </w:rPr>
      <w:t>Latest draft</w:t>
    </w:r>
    <w:r w:rsidR="00BA24CA">
      <w:rPr>
        <w:rFonts w:ascii="Arial" w:hAnsi="Arial" w:cs="Arial"/>
      </w:rPr>
      <w:t>ing:</w:t>
    </w:r>
    <w:r w:rsidRPr="00863426">
      <w:rPr>
        <w:rFonts w:ascii="Arial" w:hAnsi="Arial" w:cs="Arial"/>
      </w:rPr>
      <w:t xml:space="preserve"> </w:t>
    </w:r>
    <w:r w:rsidR="00BA24CA">
      <w:rPr>
        <w:rFonts w:ascii="Arial" w:hAnsi="Arial" w:cs="Arial"/>
      </w:rPr>
      <w:t>08/02/2017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C94" w:rsidRPr="008B68D0" w:rsidRDefault="00ED5C94" w:rsidP="00CC28A5">
    <w:pPr>
      <w:pStyle w:val="Footer"/>
      <w:pBdr>
        <w:top w:val="single" w:sz="4" w:space="1" w:color="auto"/>
      </w:pBdr>
      <w:rPr>
        <w:rFonts w:ascii="Arial" w:hAnsi="Arial" w:cs="Arial"/>
        <w:sz w:val="20"/>
        <w:szCs w:val="20"/>
      </w:rPr>
    </w:pPr>
    <w:r w:rsidRPr="008B68D0">
      <w:rPr>
        <w:rFonts w:ascii="Arial" w:hAnsi="Arial" w:cs="Arial"/>
        <w:sz w:val="20"/>
        <w:szCs w:val="20"/>
      </w:rPr>
      <w:t xml:space="preserve">Risk </w:t>
    </w:r>
    <w:r>
      <w:rPr>
        <w:rFonts w:ascii="Arial" w:hAnsi="Arial" w:cs="Arial"/>
        <w:sz w:val="20"/>
        <w:szCs w:val="20"/>
      </w:rPr>
      <w:t>Management</w:t>
    </w:r>
    <w:r>
      <w:rPr>
        <w:rFonts w:ascii="Arial" w:hAnsi="Arial" w:cs="Arial"/>
        <w:sz w:val="20"/>
        <w:szCs w:val="20"/>
      </w:rPr>
      <w:tab/>
    </w:r>
    <w:r>
      <w:rPr>
        <w:rFonts w:ascii="Arial" w:hAnsi="Arial" w:cs="Arial"/>
        <w:sz w:val="20"/>
        <w:szCs w:val="20"/>
      </w:rPr>
      <w:tab/>
    </w:r>
    <w:r w:rsidRPr="008B68D0">
      <w:rPr>
        <w:rFonts w:ascii="Arial" w:hAnsi="Arial" w:cs="Arial"/>
        <w:sz w:val="20"/>
        <w:szCs w:val="20"/>
      </w:rPr>
      <w:t xml:space="preserve">Page </w:t>
    </w:r>
    <w:r w:rsidR="00593D8E" w:rsidRPr="008B68D0">
      <w:rPr>
        <w:rFonts w:ascii="Arial" w:hAnsi="Arial" w:cs="Arial"/>
        <w:sz w:val="20"/>
        <w:szCs w:val="20"/>
      </w:rPr>
      <w:fldChar w:fldCharType="begin"/>
    </w:r>
    <w:r w:rsidRPr="008B68D0">
      <w:rPr>
        <w:rFonts w:ascii="Arial" w:hAnsi="Arial" w:cs="Arial"/>
        <w:sz w:val="20"/>
        <w:szCs w:val="20"/>
      </w:rPr>
      <w:instrText xml:space="preserve"> PAGE   \* MERGEFORMAT </w:instrText>
    </w:r>
    <w:r w:rsidR="00593D8E" w:rsidRPr="008B68D0">
      <w:rPr>
        <w:rFonts w:ascii="Arial" w:hAnsi="Arial" w:cs="Arial"/>
        <w:sz w:val="20"/>
        <w:szCs w:val="20"/>
      </w:rPr>
      <w:fldChar w:fldCharType="separate"/>
    </w:r>
    <w:r w:rsidR="00BA24CA">
      <w:rPr>
        <w:rFonts w:ascii="Arial" w:hAnsi="Arial" w:cs="Arial"/>
        <w:noProof/>
        <w:sz w:val="20"/>
        <w:szCs w:val="20"/>
      </w:rPr>
      <w:t>1</w:t>
    </w:r>
    <w:r w:rsidR="00593D8E" w:rsidRPr="008B68D0">
      <w:rPr>
        <w:rFonts w:ascii="Arial" w:hAnsi="Arial" w:cs="Arial"/>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C94" w:rsidRPr="00250A73" w:rsidRDefault="00ED5C94" w:rsidP="00250A73">
    <w:pPr>
      <w:pStyle w:val="Footer"/>
      <w:pBdr>
        <w:top w:val="single" w:sz="4" w:space="1" w:color="auto"/>
      </w:pBdr>
      <w:rPr>
        <w:rFonts w:ascii="Arial" w:hAnsi="Arial" w:cs="Arial"/>
        <w:sz w:val="20"/>
        <w:szCs w:val="20"/>
      </w:rPr>
    </w:pPr>
    <w:r>
      <w:rPr>
        <w:rFonts w:ascii="Arial" w:hAnsi="Arial" w:cs="Arial"/>
        <w:sz w:val="20"/>
        <w:szCs w:val="20"/>
      </w:rPr>
      <w:t>Risk Management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Appendix A</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C94" w:rsidRPr="00250A73" w:rsidRDefault="00ED5C94" w:rsidP="00250A73">
    <w:pPr>
      <w:pStyle w:val="Footer"/>
      <w:pBdr>
        <w:top w:val="single" w:sz="4" w:space="1" w:color="auto"/>
      </w:pBdr>
      <w:tabs>
        <w:tab w:val="clear" w:pos="9026"/>
        <w:tab w:val="left" w:pos="8931"/>
        <w:tab w:val="right" w:pos="9356"/>
      </w:tabs>
      <w:rPr>
        <w:rFonts w:ascii="Arial" w:hAnsi="Arial" w:cs="Arial"/>
        <w:sz w:val="20"/>
        <w:szCs w:val="20"/>
      </w:rPr>
    </w:pPr>
    <w:r>
      <w:rPr>
        <w:rFonts w:ascii="Arial" w:hAnsi="Arial" w:cs="Arial"/>
        <w:sz w:val="20"/>
        <w:szCs w:val="20"/>
      </w:rPr>
      <w:t>Risk Management</w:t>
    </w:r>
    <w:r>
      <w:rPr>
        <w:rFonts w:ascii="Arial" w:hAnsi="Arial" w:cs="Arial"/>
        <w:sz w:val="20"/>
        <w:szCs w:val="20"/>
      </w:rPr>
      <w:tab/>
    </w:r>
    <w:r>
      <w:rPr>
        <w:rFonts w:ascii="Arial" w:hAnsi="Arial" w:cs="Arial"/>
        <w:sz w:val="20"/>
        <w:szCs w:val="20"/>
      </w:rPr>
      <w:tab/>
      <w:t>Appendix B</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C94" w:rsidRPr="00250A73" w:rsidRDefault="00ED5C94" w:rsidP="00DA5034">
    <w:pPr>
      <w:pStyle w:val="Footer"/>
      <w:pBdr>
        <w:top w:val="single" w:sz="4" w:space="1" w:color="auto"/>
      </w:pBdr>
      <w:tabs>
        <w:tab w:val="clear" w:pos="9026"/>
        <w:tab w:val="left" w:pos="8931"/>
        <w:tab w:val="right" w:pos="9356"/>
        <w:tab w:val="left" w:pos="12191"/>
      </w:tabs>
      <w:rPr>
        <w:rFonts w:ascii="Arial" w:hAnsi="Arial" w:cs="Arial"/>
        <w:sz w:val="20"/>
        <w:szCs w:val="20"/>
      </w:rPr>
    </w:pPr>
    <w:r>
      <w:rPr>
        <w:rFonts w:ascii="Arial" w:hAnsi="Arial" w:cs="Arial"/>
        <w:sz w:val="20"/>
        <w:szCs w:val="20"/>
      </w:rPr>
      <w:t>Risk Management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Appendix C - IA</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C94" w:rsidRPr="00250A73" w:rsidRDefault="00ED5C94" w:rsidP="00DA5034">
    <w:pPr>
      <w:pStyle w:val="Footer"/>
      <w:pBdr>
        <w:top w:val="single" w:sz="4" w:space="1" w:color="auto"/>
      </w:pBdr>
      <w:tabs>
        <w:tab w:val="clear" w:pos="9026"/>
        <w:tab w:val="left" w:pos="8931"/>
        <w:tab w:val="right" w:pos="9356"/>
        <w:tab w:val="left" w:pos="12191"/>
      </w:tabs>
      <w:rPr>
        <w:rFonts w:ascii="Arial" w:hAnsi="Arial" w:cs="Arial"/>
        <w:sz w:val="20"/>
        <w:szCs w:val="20"/>
      </w:rPr>
    </w:pPr>
    <w:r>
      <w:rPr>
        <w:rFonts w:ascii="Arial" w:hAnsi="Arial" w:cs="Arial"/>
        <w:sz w:val="20"/>
        <w:szCs w:val="20"/>
      </w:rPr>
      <w:t>Risk Management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Appendix D - OBC</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C94" w:rsidRPr="00250A73" w:rsidRDefault="00ED5C94" w:rsidP="00DA5034">
    <w:pPr>
      <w:pStyle w:val="Footer"/>
      <w:pBdr>
        <w:top w:val="single" w:sz="4" w:space="1" w:color="auto"/>
      </w:pBdr>
      <w:tabs>
        <w:tab w:val="clear" w:pos="9026"/>
        <w:tab w:val="left" w:pos="8931"/>
        <w:tab w:val="right" w:pos="9356"/>
        <w:tab w:val="left" w:pos="12191"/>
      </w:tabs>
      <w:rPr>
        <w:rFonts w:ascii="Arial" w:hAnsi="Arial" w:cs="Arial"/>
        <w:sz w:val="20"/>
        <w:szCs w:val="20"/>
      </w:rPr>
    </w:pPr>
    <w:r>
      <w:rPr>
        <w:rFonts w:ascii="Arial" w:hAnsi="Arial" w:cs="Arial"/>
        <w:sz w:val="20"/>
        <w:szCs w:val="20"/>
      </w:rPr>
      <w:t>Risk Management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Appendix E - FBC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C94" w:rsidRDefault="00ED5C94" w:rsidP="009724D8">
      <w:pPr>
        <w:spacing w:after="0" w:line="240" w:lineRule="auto"/>
      </w:pPr>
      <w:r>
        <w:separator/>
      </w:r>
    </w:p>
  </w:footnote>
  <w:footnote w:type="continuationSeparator" w:id="0">
    <w:p w:rsidR="00ED5C94" w:rsidRDefault="00ED5C94" w:rsidP="009724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C94" w:rsidRDefault="00593D8E">
    <w:pPr>
      <w:pStyle w:val="Header"/>
    </w:pPr>
    <w:r>
      <w:rPr>
        <w:noProof/>
        <w:lang w:eastAsia="en-GB"/>
      </w:rPr>
      <w:pict>
        <v:group id="_x0000_s23568" style="position:absolute;margin-left:-18.7pt;margin-top:-7.95pt;width:505.1pt;height:42.25pt;z-index:251658240" coordorigin="1063,548" coordsize="10102,845">
          <v:rect id="_x0000_s23569" style="position:absolute;left:1063;top:548;width:964;height:649;v-text-anchor:middle">
            <v:textbox style="mso-next-textbox:#_x0000_s23569">
              <w:txbxContent>
                <w:p w:rsidR="00ED5C94" w:rsidRPr="006A3417" w:rsidRDefault="00ED5C94" w:rsidP="00ED5C94">
                  <w:pPr>
                    <w:spacing w:after="0" w:line="240" w:lineRule="auto"/>
                    <w:jc w:val="center"/>
                    <w:rPr>
                      <w:rFonts w:cs="Arial"/>
                      <w:sz w:val="12"/>
                      <w:szCs w:val="12"/>
                    </w:rPr>
                  </w:pPr>
                  <w:r w:rsidRPr="006A3417">
                    <w:rPr>
                      <w:rFonts w:cs="Arial"/>
                      <w:sz w:val="12"/>
                      <w:szCs w:val="12"/>
                    </w:rPr>
                    <w:t>Service Planning</w:t>
                  </w:r>
                </w:p>
              </w:txbxContent>
            </v:textbox>
          </v:rect>
          <v:rect id="_x0000_s23570" style="position:absolute;left:2240;top:548;width:964;height:649;v-text-anchor:middle">
            <v:textbox style="mso-next-textbox:#_x0000_s23570">
              <w:txbxContent>
                <w:p w:rsidR="00ED5C94" w:rsidRPr="003F3E6B" w:rsidRDefault="00ED5C94" w:rsidP="00ED5C94">
                  <w:pPr>
                    <w:spacing w:after="0" w:line="240" w:lineRule="auto"/>
                    <w:jc w:val="center"/>
                    <w:rPr>
                      <w:rFonts w:cs="Arial"/>
                      <w:sz w:val="12"/>
                      <w:szCs w:val="12"/>
                    </w:rPr>
                  </w:pPr>
                  <w:r w:rsidRPr="003F3E6B">
                    <w:rPr>
                      <w:rFonts w:cs="Arial"/>
                      <w:sz w:val="12"/>
                      <w:szCs w:val="12"/>
                    </w:rPr>
                    <w:t>LDP</w:t>
                  </w:r>
                </w:p>
              </w:txbxContent>
            </v:textbox>
          </v:rect>
          <v:rect id="_x0000_s23571" style="position:absolute;left:3427;top:548;width:964;height:649;v-text-anchor:middle">
            <v:textbox style="mso-next-textbox:#_x0000_s23571">
              <w:txbxContent>
                <w:p w:rsidR="00ED5C94" w:rsidRPr="003F3E6B" w:rsidRDefault="00ED5C94" w:rsidP="00ED5C94">
                  <w:pPr>
                    <w:spacing w:after="0" w:line="240" w:lineRule="auto"/>
                    <w:jc w:val="center"/>
                    <w:rPr>
                      <w:rFonts w:cs="Arial"/>
                      <w:sz w:val="12"/>
                      <w:szCs w:val="12"/>
                    </w:rPr>
                  </w:pPr>
                  <w:r w:rsidRPr="003F3E6B">
                    <w:rPr>
                      <w:rFonts w:cs="Arial"/>
                      <w:sz w:val="12"/>
                      <w:szCs w:val="12"/>
                    </w:rPr>
                    <w:t>PAMS</w:t>
                  </w:r>
                </w:p>
              </w:txbxContent>
            </v:textbox>
          </v:rect>
          <v:rect id="_x0000_s23572" style="position:absolute;left:4593;top:551;width:964;height:646;mso-position-horizontal:absolute;mso-position-vertical:absolute;v-text-anchor:middle" filled="f" fillcolor="#e36c0a [2409]">
            <v:textbox style="mso-next-textbox:#_x0000_s23572">
              <w:txbxContent>
                <w:p w:rsidR="00ED5C94" w:rsidRPr="00ED5C94" w:rsidRDefault="00ED5C94" w:rsidP="00ED5C94">
                  <w:pPr>
                    <w:spacing w:after="0" w:line="240" w:lineRule="auto"/>
                    <w:jc w:val="center"/>
                    <w:rPr>
                      <w:rFonts w:cs="Arial"/>
                      <w:color w:val="000000" w:themeColor="text1"/>
                      <w:sz w:val="12"/>
                      <w:szCs w:val="12"/>
                    </w:rPr>
                  </w:pPr>
                  <w:r w:rsidRPr="00ED5C94">
                    <w:rPr>
                      <w:rFonts w:cs="Arial"/>
                      <w:color w:val="000000" w:themeColor="text1"/>
                      <w:sz w:val="12"/>
                      <w:szCs w:val="12"/>
                    </w:rPr>
                    <w:t>Strategic Assessment</w:t>
                  </w:r>
                </w:p>
              </w:txbxContent>
            </v:textbox>
          </v:rect>
          <v:rect id="_x0000_s23573" style="position:absolute;left:5773;top:551;width:964;height:646;mso-position-vertical:absolute;v-text-anchor:middle" fillcolor="#c00000">
            <v:textbox style="mso-next-textbox:#_x0000_s23573">
              <w:txbxContent>
                <w:p w:rsidR="00ED5C94" w:rsidRPr="0055457A" w:rsidRDefault="00ED5C94" w:rsidP="00ED5C94">
                  <w:pPr>
                    <w:spacing w:after="0" w:line="240" w:lineRule="auto"/>
                    <w:jc w:val="center"/>
                    <w:rPr>
                      <w:rFonts w:cs="Arial"/>
                      <w:color w:val="FFFFFF" w:themeColor="background1"/>
                      <w:sz w:val="12"/>
                      <w:szCs w:val="12"/>
                    </w:rPr>
                  </w:pPr>
                  <w:r w:rsidRPr="0055457A">
                    <w:rPr>
                      <w:rFonts w:cs="Arial"/>
                      <w:color w:val="FFFFFF" w:themeColor="background1"/>
                      <w:sz w:val="12"/>
                      <w:szCs w:val="12"/>
                    </w:rPr>
                    <w:t>Initial Agreement</w:t>
                  </w:r>
                </w:p>
              </w:txbxContent>
            </v:textbox>
          </v:rect>
          <v:rect id="_x0000_s23574" style="position:absolute;left:6940;top:551;width:964;height:646;mso-position-vertical:absolute;v-text-anchor:middle" fillcolor="#31849b [2408]">
            <v:textbox style="mso-next-textbox:#_x0000_s23574">
              <w:txbxContent>
                <w:p w:rsidR="00ED5C94" w:rsidRPr="0055457A" w:rsidRDefault="00ED5C94" w:rsidP="00ED5C94">
                  <w:pPr>
                    <w:spacing w:after="0" w:line="240" w:lineRule="auto"/>
                    <w:jc w:val="center"/>
                    <w:rPr>
                      <w:rFonts w:cs="Arial"/>
                      <w:color w:val="FFFFFF" w:themeColor="background1"/>
                      <w:sz w:val="12"/>
                      <w:szCs w:val="12"/>
                    </w:rPr>
                  </w:pPr>
                  <w:r w:rsidRPr="0055457A">
                    <w:rPr>
                      <w:rFonts w:cs="Arial"/>
                      <w:color w:val="FFFFFF" w:themeColor="background1"/>
                      <w:sz w:val="12"/>
                      <w:szCs w:val="12"/>
                    </w:rPr>
                    <w:t>OBC</w:t>
                  </w:r>
                </w:p>
              </w:txbxContent>
            </v:textbox>
          </v:rect>
          <v:shapetype id="_x0000_t32" coordsize="21600,21600" o:spt="32" o:oned="t" path="m,l21600,21600e" filled="f">
            <v:path arrowok="t" fillok="f" o:connecttype="none"/>
            <o:lock v:ext="edit" shapetype="t"/>
          </v:shapetype>
          <v:shape id="_x0000_s23575" type="#_x0000_t32" style="position:absolute;left:2020;top:908;width:220;height:0" o:connectortype="straight"/>
          <v:shape id="_x0000_s23576" type="#_x0000_t32" style="position:absolute;left:3207;top:908;width:220;height:0" o:connectortype="straight"/>
          <v:shape id="_x0000_s23577" type="#_x0000_t32" style="position:absolute;left:4391;top:906;width:202;height:3" o:connectortype="straight"/>
          <v:shape id="_x0000_s23578" type="#_x0000_t32" style="position:absolute;left:5553;top:908;width:220;height:0" o:connectortype="straight"/>
          <v:shape id="_x0000_s23579" type="#_x0000_t32" style="position:absolute;left:6733;top:908;width:207;height:1" o:connectortype="straight"/>
          <v:shape id="_x0000_s23580" type="#_x0000_t32" style="position:absolute;left:7903;top:908;width:220;height:0" o:connectortype="straight"/>
          <v:rect id="_x0000_s23581" style="position:absolute;left:10485;top:551;width:680;height:646;mso-position-vertical:absolute;v-text-anchor:middle" fillcolor="#17365d [2415]">
            <v:textbox style="mso-next-textbox:#_x0000_s23581">
              <w:txbxContent>
                <w:p w:rsidR="00ED5C94" w:rsidRPr="0055457A" w:rsidRDefault="00ED5C94" w:rsidP="00ED5C94">
                  <w:pPr>
                    <w:spacing w:after="0" w:line="240" w:lineRule="auto"/>
                    <w:jc w:val="center"/>
                    <w:rPr>
                      <w:rFonts w:cs="Arial"/>
                      <w:color w:val="FFFFFF" w:themeColor="background1"/>
                      <w:sz w:val="12"/>
                      <w:szCs w:val="12"/>
                    </w:rPr>
                  </w:pPr>
                  <w:r w:rsidRPr="0055457A">
                    <w:rPr>
                      <w:rFonts w:cs="Arial"/>
                      <w:color w:val="FFFFFF" w:themeColor="background1"/>
                      <w:sz w:val="12"/>
                      <w:szCs w:val="12"/>
                    </w:rPr>
                    <w:t>PME</w:t>
                  </w:r>
                </w:p>
              </w:txbxContent>
            </v:textbox>
          </v:rect>
          <v:rect id="_x0000_s23582" style="position:absolute;left:8123;top:551;width:964;height:646;mso-position-vertical:absolute;v-text-anchor:middle" fillcolor="#5f497a [2407]">
            <v:textbox style="mso-next-textbox:#_x0000_s23582" inset=",0,,0">
              <w:txbxContent>
                <w:p w:rsidR="00ED5C94" w:rsidRPr="0055457A" w:rsidRDefault="00ED5C94" w:rsidP="00ED5C94">
                  <w:pPr>
                    <w:spacing w:after="0" w:line="240" w:lineRule="auto"/>
                    <w:jc w:val="center"/>
                    <w:rPr>
                      <w:rFonts w:cs="Arial"/>
                      <w:color w:val="FFFFFF" w:themeColor="background1"/>
                      <w:sz w:val="12"/>
                      <w:szCs w:val="12"/>
                    </w:rPr>
                  </w:pPr>
                  <w:r w:rsidRPr="0055457A">
                    <w:rPr>
                      <w:rFonts w:cs="Arial"/>
                      <w:color w:val="FFFFFF" w:themeColor="background1"/>
                      <w:sz w:val="12"/>
                      <w:szCs w:val="12"/>
                    </w:rPr>
                    <w:t>FBC</w:t>
                  </w:r>
                </w:p>
              </w:txbxContent>
            </v:textbox>
          </v:rect>
          <v:shape id="_x0000_s23583" type="#_x0000_t32" style="position:absolute;left:1706;top:1382;width:8869;height:11;flip:y" o:connectortype="straight"/>
          <v:shape id="_x0000_s23584" type="#_x0000_t32" style="position:absolute;left:9083;top:908;width:220;height:0" o:connectortype="straight"/>
          <v:rect id="_x0000_s23585" style="position:absolute;left:9303;top:551;width:964;height:646;mso-position-vertical:absolute;v-text-anchor:middle" fillcolor="#17365d [2415]">
            <v:textbox style="mso-next-textbox:#_x0000_s23585" inset="0,0,0,0">
              <w:txbxContent>
                <w:p w:rsidR="00ED5C94" w:rsidRPr="003F3E6B" w:rsidRDefault="00ED5C94" w:rsidP="00ED5C94">
                  <w:pPr>
                    <w:spacing w:after="0" w:line="240" w:lineRule="auto"/>
                    <w:jc w:val="center"/>
                    <w:rPr>
                      <w:rFonts w:cs="Arial"/>
                      <w:sz w:val="12"/>
                      <w:szCs w:val="12"/>
                    </w:rPr>
                  </w:pPr>
                  <w:r w:rsidRPr="003F3E6B">
                    <w:rPr>
                      <w:rFonts w:cs="Arial"/>
                      <w:sz w:val="12"/>
                      <w:szCs w:val="12"/>
                    </w:rPr>
                    <w:t>Construction &amp; Commissioning</w:t>
                  </w:r>
                </w:p>
              </w:txbxContent>
            </v:textbox>
          </v:rect>
          <v:shape id="_x0000_s23586" type="#_x0000_t32" style="position:absolute;left:10263;top:908;width:220;height:0" o:connectortype="straigh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3587" type="#_x0000_t19" style="position:absolute;left:1502;top:1212;width:170;height:170;rotation:180">
            <v:stroke endarrow="block" endarrowwidth="wide"/>
          </v:shape>
          <v:shape id="_x0000_s23588" type="#_x0000_t19" style="position:absolute;left:10612;top:1209;width:170;height:170;rotation:90">
            <v:stroke endarrow="block" endarrowwidth="wide"/>
          </v:shap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C94" w:rsidRDefault="00ED5C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5B54"/>
    <w:multiLevelType w:val="multilevel"/>
    <w:tmpl w:val="BED461EE"/>
    <w:lvl w:ilvl="0">
      <w:start w:val="1"/>
      <w:numFmt w:val="bullet"/>
      <w:pStyle w:val="Standard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3B3DBF"/>
    <w:multiLevelType w:val="hybridMultilevel"/>
    <w:tmpl w:val="0100C3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9CC67C7"/>
    <w:multiLevelType w:val="hybridMultilevel"/>
    <w:tmpl w:val="05D8B1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FFF2DD9"/>
    <w:multiLevelType w:val="hybridMultilevel"/>
    <w:tmpl w:val="6942A5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C234F3"/>
    <w:multiLevelType w:val="multilevel"/>
    <w:tmpl w:val="02FA9C42"/>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C9761E6"/>
    <w:multiLevelType w:val="multilevel"/>
    <w:tmpl w:val="1D92CBEA"/>
    <w:lvl w:ilvl="0">
      <w:start w:val="4"/>
      <w:numFmt w:val="decimal"/>
      <w:lvlText w:val="%1"/>
      <w:lvlJc w:val="left"/>
      <w:pPr>
        <w:ind w:left="720" w:hanging="720"/>
      </w:pPr>
      <w:rPr>
        <w:rFonts w:hint="default"/>
      </w:rPr>
    </w:lvl>
    <w:lvl w:ilvl="1">
      <w:start w:val="3"/>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6">
    <w:nsid w:val="2E0826E6"/>
    <w:multiLevelType w:val="hybridMultilevel"/>
    <w:tmpl w:val="1AA6D73E"/>
    <w:lvl w:ilvl="0" w:tplc="2D5EFC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306E2A"/>
    <w:multiLevelType w:val="multilevel"/>
    <w:tmpl w:val="1E2494E4"/>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5720507"/>
    <w:multiLevelType w:val="multilevel"/>
    <w:tmpl w:val="754695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39A64F13"/>
    <w:multiLevelType w:val="hybridMultilevel"/>
    <w:tmpl w:val="CDF488E2"/>
    <w:lvl w:ilvl="0" w:tplc="A1B2A9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EDB1927"/>
    <w:multiLevelType w:val="hybridMultilevel"/>
    <w:tmpl w:val="313E858E"/>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yriad Pr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yriad Pr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yriad Pr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AA22FF"/>
    <w:multiLevelType w:val="hybridMultilevel"/>
    <w:tmpl w:val="9928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EB6656D"/>
    <w:multiLevelType w:val="hybridMultilevel"/>
    <w:tmpl w:val="62A83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1531F5"/>
    <w:multiLevelType w:val="hybridMultilevel"/>
    <w:tmpl w:val="931659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FB2A17"/>
    <w:multiLevelType w:val="hybridMultilevel"/>
    <w:tmpl w:val="D9FE6F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7630297"/>
    <w:multiLevelType w:val="hybridMultilevel"/>
    <w:tmpl w:val="34E45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C5F4B6C"/>
    <w:multiLevelType w:val="multilevel"/>
    <w:tmpl w:val="6A58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05545B"/>
    <w:multiLevelType w:val="multilevel"/>
    <w:tmpl w:val="FC46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FC2DC4"/>
    <w:multiLevelType w:val="multilevel"/>
    <w:tmpl w:val="E4C0553C"/>
    <w:lvl w:ilvl="0">
      <w:start w:val="3"/>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797306D7"/>
    <w:multiLevelType w:val="multilevel"/>
    <w:tmpl w:val="AE30EE5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17"/>
  </w:num>
  <w:num w:numId="3">
    <w:abstractNumId w:val="16"/>
  </w:num>
  <w:num w:numId="4">
    <w:abstractNumId w:val="3"/>
  </w:num>
  <w:num w:numId="5">
    <w:abstractNumId w:val="11"/>
  </w:num>
  <w:num w:numId="6">
    <w:abstractNumId w:val="13"/>
  </w:num>
  <w:num w:numId="7">
    <w:abstractNumId w:val="9"/>
  </w:num>
  <w:num w:numId="8">
    <w:abstractNumId w:val="18"/>
  </w:num>
  <w:num w:numId="9">
    <w:abstractNumId w:val="4"/>
  </w:num>
  <w:num w:numId="10">
    <w:abstractNumId w:val="5"/>
  </w:num>
  <w:num w:numId="11">
    <w:abstractNumId w:val="7"/>
  </w:num>
  <w:num w:numId="12">
    <w:abstractNumId w:val="12"/>
  </w:num>
  <w:num w:numId="13">
    <w:abstractNumId w:val="15"/>
  </w:num>
  <w:num w:numId="14">
    <w:abstractNumId w:val="8"/>
  </w:num>
  <w:num w:numId="15">
    <w:abstractNumId w:val="8"/>
  </w:num>
  <w:num w:numId="16">
    <w:abstractNumId w:val="19"/>
  </w:num>
  <w:num w:numId="17">
    <w:abstractNumId w:val="10"/>
  </w:num>
  <w:num w:numId="18">
    <w:abstractNumId w:val="2"/>
  </w:num>
  <w:num w:numId="19">
    <w:abstractNumId w:val="14"/>
  </w:num>
  <w:num w:numId="20">
    <w:abstractNumId w:val="6"/>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3590"/>
    <o:shapelayout v:ext="edit">
      <o:idmap v:ext="edit" data="23"/>
      <o:rules v:ext="edit">
        <o:r id="V:Rule10" type="arc" idref="#_x0000_s23587"/>
        <o:r id="V:Rule11" type="arc" idref="#_x0000_s23588"/>
        <o:r id="V:Rule12" type="connector" idref="#_x0000_s23576"/>
        <o:r id="V:Rule13" type="connector" idref="#_x0000_s23583"/>
        <o:r id="V:Rule14" type="connector" idref="#_x0000_s23577"/>
        <o:r id="V:Rule15" type="connector" idref="#_x0000_s23578"/>
        <o:r id="V:Rule16" type="connector" idref="#_x0000_s23575"/>
        <o:r id="V:Rule17" type="connector" idref="#_x0000_s23586"/>
        <o:r id="V:Rule18" type="connector" idref="#_x0000_s23580"/>
        <o:r id="V:Rule19" type="connector" idref="#_x0000_s23579"/>
        <o:r id="V:Rule20" type="connector" idref="#_x0000_s23584"/>
      </o:rules>
    </o:shapelayout>
  </w:hdrShapeDefaults>
  <w:footnotePr>
    <w:footnote w:id="-1"/>
    <w:footnote w:id="0"/>
  </w:footnotePr>
  <w:endnotePr>
    <w:endnote w:id="-1"/>
    <w:endnote w:id="0"/>
  </w:endnotePr>
  <w:compat/>
  <w:rsids>
    <w:rsidRoot w:val="007A5ADA"/>
    <w:rsid w:val="00010813"/>
    <w:rsid w:val="00032F4F"/>
    <w:rsid w:val="000377BF"/>
    <w:rsid w:val="000A0C05"/>
    <w:rsid w:val="000A2979"/>
    <w:rsid w:val="000B0D25"/>
    <w:rsid w:val="000B1421"/>
    <w:rsid w:val="000C266B"/>
    <w:rsid w:val="000C293B"/>
    <w:rsid w:val="000C546E"/>
    <w:rsid w:val="000D44AB"/>
    <w:rsid w:val="000D5924"/>
    <w:rsid w:val="000F5084"/>
    <w:rsid w:val="00103DE9"/>
    <w:rsid w:val="001147C1"/>
    <w:rsid w:val="0013684D"/>
    <w:rsid w:val="00144B8D"/>
    <w:rsid w:val="00147D52"/>
    <w:rsid w:val="00151476"/>
    <w:rsid w:val="00175E3B"/>
    <w:rsid w:val="001A75D2"/>
    <w:rsid w:val="001B3E84"/>
    <w:rsid w:val="001C1B7E"/>
    <w:rsid w:val="001F1F68"/>
    <w:rsid w:val="001F40B1"/>
    <w:rsid w:val="0021204E"/>
    <w:rsid w:val="00223FC3"/>
    <w:rsid w:val="002265C1"/>
    <w:rsid w:val="0024240C"/>
    <w:rsid w:val="00250A73"/>
    <w:rsid w:val="00275692"/>
    <w:rsid w:val="00281625"/>
    <w:rsid w:val="00283D56"/>
    <w:rsid w:val="00295A49"/>
    <w:rsid w:val="00297774"/>
    <w:rsid w:val="002A186C"/>
    <w:rsid w:val="002A534E"/>
    <w:rsid w:val="002B28BC"/>
    <w:rsid w:val="002C0D96"/>
    <w:rsid w:val="002E0DF6"/>
    <w:rsid w:val="002E4908"/>
    <w:rsid w:val="00322C61"/>
    <w:rsid w:val="00337B96"/>
    <w:rsid w:val="00353173"/>
    <w:rsid w:val="00353F73"/>
    <w:rsid w:val="0035597C"/>
    <w:rsid w:val="00363E70"/>
    <w:rsid w:val="00367443"/>
    <w:rsid w:val="003835D1"/>
    <w:rsid w:val="0038452F"/>
    <w:rsid w:val="00384D5D"/>
    <w:rsid w:val="00397E49"/>
    <w:rsid w:val="003D1EBB"/>
    <w:rsid w:val="003D65EC"/>
    <w:rsid w:val="003F14FF"/>
    <w:rsid w:val="003F23DD"/>
    <w:rsid w:val="003F45F9"/>
    <w:rsid w:val="004023A2"/>
    <w:rsid w:val="00402791"/>
    <w:rsid w:val="004071B4"/>
    <w:rsid w:val="004136D2"/>
    <w:rsid w:val="004167E5"/>
    <w:rsid w:val="004229F6"/>
    <w:rsid w:val="00426716"/>
    <w:rsid w:val="00451EAB"/>
    <w:rsid w:val="004532AC"/>
    <w:rsid w:val="004774F4"/>
    <w:rsid w:val="004779DD"/>
    <w:rsid w:val="0048299A"/>
    <w:rsid w:val="00490AA3"/>
    <w:rsid w:val="004A1FD3"/>
    <w:rsid w:val="004A3717"/>
    <w:rsid w:val="004D0261"/>
    <w:rsid w:val="0050487E"/>
    <w:rsid w:val="0050757D"/>
    <w:rsid w:val="005201A9"/>
    <w:rsid w:val="0053191A"/>
    <w:rsid w:val="0055263F"/>
    <w:rsid w:val="00552CBB"/>
    <w:rsid w:val="00567EB3"/>
    <w:rsid w:val="0057401C"/>
    <w:rsid w:val="005801D0"/>
    <w:rsid w:val="00593D8E"/>
    <w:rsid w:val="00596E59"/>
    <w:rsid w:val="005C236B"/>
    <w:rsid w:val="005C788A"/>
    <w:rsid w:val="005E78F2"/>
    <w:rsid w:val="005F7C85"/>
    <w:rsid w:val="00627CF2"/>
    <w:rsid w:val="00641CF9"/>
    <w:rsid w:val="00644F2A"/>
    <w:rsid w:val="00652C80"/>
    <w:rsid w:val="0065488A"/>
    <w:rsid w:val="0069774C"/>
    <w:rsid w:val="006A0EC6"/>
    <w:rsid w:val="006A54A7"/>
    <w:rsid w:val="006B102E"/>
    <w:rsid w:val="006B1193"/>
    <w:rsid w:val="006B22A9"/>
    <w:rsid w:val="006C6C27"/>
    <w:rsid w:val="00717112"/>
    <w:rsid w:val="00724D70"/>
    <w:rsid w:val="007402EF"/>
    <w:rsid w:val="00746557"/>
    <w:rsid w:val="00761B84"/>
    <w:rsid w:val="00767CEB"/>
    <w:rsid w:val="0078454A"/>
    <w:rsid w:val="007A20A8"/>
    <w:rsid w:val="007A57C8"/>
    <w:rsid w:val="007A5ADA"/>
    <w:rsid w:val="007F1265"/>
    <w:rsid w:val="0081386D"/>
    <w:rsid w:val="00813AFA"/>
    <w:rsid w:val="00820616"/>
    <w:rsid w:val="008471A3"/>
    <w:rsid w:val="008558F6"/>
    <w:rsid w:val="00863426"/>
    <w:rsid w:val="00863EF8"/>
    <w:rsid w:val="00866808"/>
    <w:rsid w:val="00890ED6"/>
    <w:rsid w:val="0089178C"/>
    <w:rsid w:val="00892833"/>
    <w:rsid w:val="008A60FC"/>
    <w:rsid w:val="008A64E9"/>
    <w:rsid w:val="008B68D0"/>
    <w:rsid w:val="008C7C17"/>
    <w:rsid w:val="008D19C5"/>
    <w:rsid w:val="009416D0"/>
    <w:rsid w:val="00950704"/>
    <w:rsid w:val="00955D6E"/>
    <w:rsid w:val="009636DF"/>
    <w:rsid w:val="009702E1"/>
    <w:rsid w:val="009724D8"/>
    <w:rsid w:val="00973F24"/>
    <w:rsid w:val="00992763"/>
    <w:rsid w:val="00994677"/>
    <w:rsid w:val="009A211A"/>
    <w:rsid w:val="009A7A87"/>
    <w:rsid w:val="009B15FD"/>
    <w:rsid w:val="009B4127"/>
    <w:rsid w:val="009C2689"/>
    <w:rsid w:val="009F1A70"/>
    <w:rsid w:val="009F7A5C"/>
    <w:rsid w:val="00A17E94"/>
    <w:rsid w:val="00A502D7"/>
    <w:rsid w:val="00A56DE8"/>
    <w:rsid w:val="00A66CE0"/>
    <w:rsid w:val="00A756D3"/>
    <w:rsid w:val="00AA5E28"/>
    <w:rsid w:val="00AB3885"/>
    <w:rsid w:val="00AF47EB"/>
    <w:rsid w:val="00B048EB"/>
    <w:rsid w:val="00B12DAD"/>
    <w:rsid w:val="00B16407"/>
    <w:rsid w:val="00B26666"/>
    <w:rsid w:val="00B35B9C"/>
    <w:rsid w:val="00B53E95"/>
    <w:rsid w:val="00B70B7C"/>
    <w:rsid w:val="00B8742F"/>
    <w:rsid w:val="00B929CA"/>
    <w:rsid w:val="00B94088"/>
    <w:rsid w:val="00B96FDC"/>
    <w:rsid w:val="00BA24CA"/>
    <w:rsid w:val="00BC3937"/>
    <w:rsid w:val="00BF07D6"/>
    <w:rsid w:val="00C36FF5"/>
    <w:rsid w:val="00C41C77"/>
    <w:rsid w:val="00C44724"/>
    <w:rsid w:val="00C45ECB"/>
    <w:rsid w:val="00C64407"/>
    <w:rsid w:val="00C872F9"/>
    <w:rsid w:val="00CA036F"/>
    <w:rsid w:val="00CB6C7D"/>
    <w:rsid w:val="00CC204A"/>
    <w:rsid w:val="00CC28A5"/>
    <w:rsid w:val="00CC29DF"/>
    <w:rsid w:val="00CE0370"/>
    <w:rsid w:val="00CE1EC2"/>
    <w:rsid w:val="00CE7005"/>
    <w:rsid w:val="00CF1EB2"/>
    <w:rsid w:val="00CF60C5"/>
    <w:rsid w:val="00D4760D"/>
    <w:rsid w:val="00D60039"/>
    <w:rsid w:val="00D6266C"/>
    <w:rsid w:val="00D677E9"/>
    <w:rsid w:val="00D75D16"/>
    <w:rsid w:val="00D84831"/>
    <w:rsid w:val="00DA5034"/>
    <w:rsid w:val="00DC5E4F"/>
    <w:rsid w:val="00DD6C6A"/>
    <w:rsid w:val="00DE0466"/>
    <w:rsid w:val="00DE65EB"/>
    <w:rsid w:val="00DE7365"/>
    <w:rsid w:val="00DF3904"/>
    <w:rsid w:val="00E01BFC"/>
    <w:rsid w:val="00E16197"/>
    <w:rsid w:val="00E515AA"/>
    <w:rsid w:val="00E63279"/>
    <w:rsid w:val="00E92CA1"/>
    <w:rsid w:val="00EA1948"/>
    <w:rsid w:val="00EA359D"/>
    <w:rsid w:val="00EB5D55"/>
    <w:rsid w:val="00EB639F"/>
    <w:rsid w:val="00EB66A6"/>
    <w:rsid w:val="00EC5928"/>
    <w:rsid w:val="00ED5C94"/>
    <w:rsid w:val="00EE76F2"/>
    <w:rsid w:val="00EF592F"/>
    <w:rsid w:val="00F31C6D"/>
    <w:rsid w:val="00F52AFF"/>
    <w:rsid w:val="00FB2678"/>
    <w:rsid w:val="00FE4278"/>
    <w:rsid w:val="00FF0452"/>
    <w:rsid w:val="00FF0A53"/>
    <w:rsid w:val="00FF29D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908"/>
  </w:style>
  <w:style w:type="paragraph" w:styleId="Heading1">
    <w:name w:val="heading 1"/>
    <w:basedOn w:val="Normal"/>
    <w:next w:val="Normal"/>
    <w:link w:val="Heading1Char"/>
    <w:uiPriority w:val="9"/>
    <w:qFormat/>
    <w:rsid w:val="00EB639F"/>
    <w:pPr>
      <w:keepNext/>
      <w:keepLines/>
      <w:numPr>
        <w:numId w:val="16"/>
      </w:numPr>
      <w:spacing w:before="240" w:after="240" w:line="360" w:lineRule="auto"/>
      <w:ind w:left="567" w:hanging="567"/>
      <w:outlineLvl w:val="0"/>
    </w:pPr>
    <w:rPr>
      <w:rFonts w:ascii="Arial" w:eastAsiaTheme="majorEastAsia" w:hAnsi="Arial" w:cstheme="majorBidi"/>
      <w:b/>
      <w:bCs/>
      <w:color w:val="000000" w:themeColor="text1"/>
      <w:sz w:val="28"/>
      <w:szCs w:val="28"/>
    </w:rPr>
  </w:style>
  <w:style w:type="paragraph" w:styleId="Heading2">
    <w:name w:val="heading 2"/>
    <w:basedOn w:val="Normal"/>
    <w:next w:val="Normal"/>
    <w:link w:val="Heading2Char"/>
    <w:uiPriority w:val="9"/>
    <w:unhideWhenUsed/>
    <w:qFormat/>
    <w:rsid w:val="00EB639F"/>
    <w:pPr>
      <w:keepNext/>
      <w:keepLines/>
      <w:numPr>
        <w:ilvl w:val="1"/>
        <w:numId w:val="16"/>
      </w:numPr>
      <w:spacing w:before="240" w:after="240"/>
      <w:ind w:left="578" w:hanging="578"/>
      <w:outlineLvl w:val="1"/>
    </w:pPr>
    <w:rPr>
      <w:rFonts w:ascii="Arial" w:eastAsiaTheme="majorEastAsia" w:hAnsi="Arial" w:cstheme="majorBidi"/>
      <w:b/>
      <w:bCs/>
      <w:color w:val="000000" w:themeColor="text1"/>
      <w:sz w:val="24"/>
      <w:szCs w:val="26"/>
    </w:rPr>
  </w:style>
  <w:style w:type="paragraph" w:styleId="Heading3">
    <w:name w:val="heading 3"/>
    <w:basedOn w:val="Normal"/>
    <w:next w:val="Standardparagraph"/>
    <w:link w:val="Heading3Char"/>
    <w:uiPriority w:val="9"/>
    <w:unhideWhenUsed/>
    <w:qFormat/>
    <w:rsid w:val="00283D56"/>
    <w:pPr>
      <w:keepNext/>
      <w:keepLines/>
      <w:numPr>
        <w:ilvl w:val="2"/>
        <w:numId w:val="16"/>
      </w:numPr>
      <w:spacing w:before="240" w:after="240"/>
      <w:outlineLvl w:val="2"/>
    </w:pPr>
    <w:rPr>
      <w:rFonts w:ascii="Arial" w:eastAsiaTheme="majorEastAsia" w:hAnsi="Arial" w:cstheme="majorBidi"/>
      <w:b/>
      <w:bCs/>
      <w:color w:val="000000" w:themeColor="text1"/>
      <w:sz w:val="24"/>
    </w:rPr>
  </w:style>
  <w:style w:type="paragraph" w:styleId="Heading4">
    <w:name w:val="heading 4"/>
    <w:basedOn w:val="Normal"/>
    <w:next w:val="Normal"/>
    <w:link w:val="Heading4Char"/>
    <w:uiPriority w:val="9"/>
    <w:unhideWhenUsed/>
    <w:qFormat/>
    <w:rsid w:val="009724D8"/>
    <w:pPr>
      <w:keepNext/>
      <w:keepLines/>
      <w:numPr>
        <w:ilvl w:val="3"/>
        <w:numId w:val="16"/>
      </w:numPr>
      <w:spacing w:before="200" w:after="0"/>
      <w:outlineLvl w:val="3"/>
    </w:pPr>
    <w:rPr>
      <w:rFonts w:ascii="Arial" w:eastAsiaTheme="majorEastAsia" w:hAnsi="Arial" w:cstheme="majorBidi"/>
      <w:b/>
      <w:bCs/>
      <w:i/>
      <w:iCs/>
      <w:color w:val="4F81BD" w:themeColor="accent1"/>
    </w:rPr>
  </w:style>
  <w:style w:type="paragraph" w:styleId="Heading5">
    <w:name w:val="heading 5"/>
    <w:basedOn w:val="Normal"/>
    <w:link w:val="Heading5Char"/>
    <w:uiPriority w:val="9"/>
    <w:qFormat/>
    <w:rsid w:val="007A5ADA"/>
    <w:pPr>
      <w:numPr>
        <w:ilvl w:val="4"/>
        <w:numId w:val="16"/>
      </w:numPr>
      <w:spacing w:after="96" w:line="240" w:lineRule="auto"/>
      <w:outlineLvl w:val="4"/>
    </w:pPr>
    <w:rPr>
      <w:rFonts w:ascii="Times New Roman" w:eastAsia="Times New Roman" w:hAnsi="Times New Roman" w:cs="Times New Roman"/>
      <w:b/>
      <w:bCs/>
      <w:color w:val="335183"/>
      <w:sz w:val="31"/>
      <w:szCs w:val="31"/>
      <w:lang w:eastAsia="en-GB"/>
    </w:rPr>
  </w:style>
  <w:style w:type="paragraph" w:styleId="Heading6">
    <w:name w:val="heading 6"/>
    <w:basedOn w:val="Normal"/>
    <w:link w:val="Heading6Char"/>
    <w:uiPriority w:val="9"/>
    <w:qFormat/>
    <w:rsid w:val="007A5ADA"/>
    <w:pPr>
      <w:numPr>
        <w:ilvl w:val="5"/>
        <w:numId w:val="16"/>
      </w:numPr>
      <w:spacing w:after="0" w:line="240" w:lineRule="auto"/>
      <w:outlineLvl w:val="5"/>
    </w:pPr>
    <w:rPr>
      <w:rFonts w:ascii="Times New Roman" w:eastAsia="Times New Roman" w:hAnsi="Times New Roman" w:cs="Times New Roman"/>
      <w:b/>
      <w:bCs/>
      <w:color w:val="335183"/>
      <w:sz w:val="31"/>
      <w:szCs w:val="31"/>
      <w:lang w:eastAsia="en-GB"/>
    </w:rPr>
  </w:style>
  <w:style w:type="paragraph" w:styleId="Heading7">
    <w:name w:val="heading 7"/>
    <w:basedOn w:val="Normal"/>
    <w:next w:val="Normal"/>
    <w:link w:val="Heading7Char"/>
    <w:uiPriority w:val="9"/>
    <w:semiHidden/>
    <w:unhideWhenUsed/>
    <w:qFormat/>
    <w:rsid w:val="00EB639F"/>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B639F"/>
    <w:pPr>
      <w:keepNext/>
      <w:keepLines/>
      <w:numPr>
        <w:ilvl w:val="7"/>
        <w:numId w:val="1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B639F"/>
    <w:pPr>
      <w:keepNext/>
      <w:keepLines/>
      <w:numPr>
        <w:ilvl w:val="8"/>
        <w:numId w:val="1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A5ADA"/>
    <w:rPr>
      <w:rFonts w:ascii="Times New Roman" w:eastAsia="Times New Roman" w:hAnsi="Times New Roman" w:cs="Times New Roman"/>
      <w:b/>
      <w:bCs/>
      <w:color w:val="335183"/>
      <w:sz w:val="31"/>
      <w:szCs w:val="31"/>
      <w:lang w:eastAsia="en-GB"/>
    </w:rPr>
  </w:style>
  <w:style w:type="character" w:customStyle="1" w:styleId="Heading6Char">
    <w:name w:val="Heading 6 Char"/>
    <w:basedOn w:val="DefaultParagraphFont"/>
    <w:link w:val="Heading6"/>
    <w:uiPriority w:val="9"/>
    <w:rsid w:val="007A5ADA"/>
    <w:rPr>
      <w:rFonts w:ascii="Times New Roman" w:eastAsia="Times New Roman" w:hAnsi="Times New Roman" w:cs="Times New Roman"/>
      <w:b/>
      <w:bCs/>
      <w:color w:val="335183"/>
      <w:sz w:val="31"/>
      <w:szCs w:val="31"/>
      <w:lang w:eastAsia="en-GB"/>
    </w:rPr>
  </w:style>
  <w:style w:type="character" w:styleId="Hyperlink">
    <w:name w:val="Hyperlink"/>
    <w:basedOn w:val="DefaultParagraphFont"/>
    <w:uiPriority w:val="99"/>
    <w:unhideWhenUsed/>
    <w:rsid w:val="007A5ADA"/>
    <w:rPr>
      <w:color w:val="0065BD"/>
      <w:u w:val="single"/>
    </w:rPr>
  </w:style>
  <w:style w:type="character" w:styleId="Strong">
    <w:name w:val="Strong"/>
    <w:basedOn w:val="DefaultParagraphFont"/>
    <w:uiPriority w:val="22"/>
    <w:qFormat/>
    <w:rsid w:val="007A5ADA"/>
    <w:rPr>
      <w:b/>
      <w:bCs/>
    </w:rPr>
  </w:style>
  <w:style w:type="paragraph" w:styleId="BalloonText">
    <w:name w:val="Balloon Text"/>
    <w:basedOn w:val="Normal"/>
    <w:link w:val="BalloonTextChar"/>
    <w:uiPriority w:val="99"/>
    <w:semiHidden/>
    <w:unhideWhenUsed/>
    <w:rsid w:val="007A5A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ADA"/>
    <w:rPr>
      <w:rFonts w:ascii="Tahoma" w:hAnsi="Tahoma" w:cs="Tahoma"/>
      <w:sz w:val="16"/>
      <w:szCs w:val="16"/>
    </w:rPr>
  </w:style>
  <w:style w:type="paragraph" w:customStyle="1" w:styleId="Standardparagraph">
    <w:name w:val="Standard paragraph"/>
    <w:basedOn w:val="Normal"/>
    <w:qFormat/>
    <w:rsid w:val="00EB639F"/>
    <w:pPr>
      <w:widowControl w:val="0"/>
      <w:tabs>
        <w:tab w:val="left" w:pos="720"/>
        <w:tab w:val="left" w:pos="1440"/>
        <w:tab w:val="left" w:pos="2160"/>
        <w:tab w:val="left" w:pos="2880"/>
        <w:tab w:val="left" w:pos="4680"/>
        <w:tab w:val="left" w:pos="5400"/>
        <w:tab w:val="right" w:pos="8460"/>
        <w:tab w:val="right" w:pos="8820"/>
      </w:tabs>
      <w:adjustRightInd w:val="0"/>
      <w:spacing w:after="240" w:line="360" w:lineRule="auto"/>
      <w:ind w:right="204"/>
      <w:textAlignment w:val="baseline"/>
    </w:pPr>
    <w:rPr>
      <w:rFonts w:ascii="Arial" w:eastAsia="Times New Roman" w:hAnsi="Arial" w:cs="Times New Roman"/>
      <w:sz w:val="24"/>
      <w:szCs w:val="20"/>
    </w:rPr>
  </w:style>
  <w:style w:type="paragraph" w:customStyle="1" w:styleId="Standardbullet">
    <w:name w:val="Standard bullet"/>
    <w:basedOn w:val="Normal"/>
    <w:qFormat/>
    <w:rsid w:val="008B68D0"/>
    <w:pPr>
      <w:numPr>
        <w:numId w:val="1"/>
      </w:numPr>
      <w:shd w:val="clear" w:color="auto" w:fill="FFFFFF"/>
      <w:spacing w:before="120" w:after="120" w:line="360" w:lineRule="auto"/>
      <w:ind w:left="714" w:hanging="357"/>
    </w:pPr>
    <w:rPr>
      <w:rFonts w:ascii="Arial" w:eastAsia="Times New Roman" w:hAnsi="Arial" w:cs="Arial"/>
      <w:color w:val="000000"/>
      <w:sz w:val="24"/>
      <w:szCs w:val="24"/>
      <w:lang w:eastAsia="en-GB"/>
    </w:rPr>
  </w:style>
  <w:style w:type="paragraph" w:styleId="NoSpacing">
    <w:name w:val="No Spacing"/>
    <w:uiPriority w:val="1"/>
    <w:qFormat/>
    <w:rsid w:val="00EB66A6"/>
    <w:pPr>
      <w:spacing w:after="0" w:line="240" w:lineRule="auto"/>
    </w:pPr>
  </w:style>
  <w:style w:type="character" w:styleId="CommentReference">
    <w:name w:val="annotation reference"/>
    <w:basedOn w:val="DefaultParagraphFont"/>
    <w:uiPriority w:val="99"/>
    <w:semiHidden/>
    <w:unhideWhenUsed/>
    <w:rsid w:val="00892833"/>
    <w:rPr>
      <w:sz w:val="16"/>
      <w:szCs w:val="16"/>
    </w:rPr>
  </w:style>
  <w:style w:type="paragraph" w:styleId="CommentText">
    <w:name w:val="annotation text"/>
    <w:basedOn w:val="Normal"/>
    <w:link w:val="CommentTextChar"/>
    <w:uiPriority w:val="99"/>
    <w:semiHidden/>
    <w:unhideWhenUsed/>
    <w:rsid w:val="00892833"/>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892833"/>
    <w:rPr>
      <w:rFonts w:ascii="Calibri" w:eastAsia="Calibri" w:hAnsi="Calibri" w:cs="Times New Roman"/>
      <w:sz w:val="20"/>
      <w:szCs w:val="20"/>
    </w:rPr>
  </w:style>
  <w:style w:type="table" w:styleId="TableGrid">
    <w:name w:val="Table Grid"/>
    <w:basedOn w:val="TableNormal"/>
    <w:uiPriority w:val="59"/>
    <w:rsid w:val="008928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rsid w:val="00EB639F"/>
    <w:pPr>
      <w:widowControl w:val="0"/>
      <w:adjustRightInd w:val="0"/>
      <w:spacing w:before="40" w:after="40" w:line="240" w:lineRule="auto"/>
      <w:textAlignment w:val="baseline"/>
    </w:pPr>
    <w:rPr>
      <w:rFonts w:ascii="Arial" w:eastAsia="Times New Roman" w:hAnsi="Arial" w:cs="Times New Roman"/>
      <w:b/>
      <w:sz w:val="28"/>
      <w:szCs w:val="28"/>
      <w:lang w:val="en-US"/>
    </w:rPr>
  </w:style>
  <w:style w:type="paragraph" w:styleId="CommentSubject">
    <w:name w:val="annotation subject"/>
    <w:basedOn w:val="CommentText"/>
    <w:next w:val="CommentText"/>
    <w:link w:val="CommentSubjectChar"/>
    <w:uiPriority w:val="99"/>
    <w:semiHidden/>
    <w:unhideWhenUsed/>
    <w:rsid w:val="000B1421"/>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B1421"/>
    <w:rPr>
      <w:b/>
      <w:bCs/>
    </w:rPr>
  </w:style>
  <w:style w:type="paragraph" w:styleId="ListParagraph">
    <w:name w:val="List Paragraph"/>
    <w:basedOn w:val="Normal"/>
    <w:uiPriority w:val="34"/>
    <w:qFormat/>
    <w:rsid w:val="007A57C8"/>
    <w:pPr>
      <w:ind w:left="720"/>
      <w:contextualSpacing/>
    </w:pPr>
  </w:style>
  <w:style w:type="paragraph" w:styleId="Header">
    <w:name w:val="header"/>
    <w:basedOn w:val="Normal"/>
    <w:link w:val="HeaderChar"/>
    <w:uiPriority w:val="99"/>
    <w:semiHidden/>
    <w:unhideWhenUsed/>
    <w:rsid w:val="009724D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724D8"/>
  </w:style>
  <w:style w:type="paragraph" w:styleId="Footer">
    <w:name w:val="footer"/>
    <w:basedOn w:val="Normal"/>
    <w:link w:val="FooterChar"/>
    <w:uiPriority w:val="99"/>
    <w:semiHidden/>
    <w:unhideWhenUsed/>
    <w:rsid w:val="009724D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724D8"/>
  </w:style>
  <w:style w:type="character" w:customStyle="1" w:styleId="Heading1Char">
    <w:name w:val="Heading 1 Char"/>
    <w:basedOn w:val="DefaultParagraphFont"/>
    <w:link w:val="Heading1"/>
    <w:uiPriority w:val="9"/>
    <w:rsid w:val="00EB639F"/>
    <w:rPr>
      <w:rFonts w:ascii="Arial" w:eastAsiaTheme="majorEastAsia" w:hAnsi="Arial" w:cstheme="majorBidi"/>
      <w:b/>
      <w:bCs/>
      <w:color w:val="000000" w:themeColor="text1"/>
      <w:sz w:val="28"/>
      <w:szCs w:val="28"/>
    </w:rPr>
  </w:style>
  <w:style w:type="paragraph" w:styleId="TOCHeading">
    <w:name w:val="TOC Heading"/>
    <w:basedOn w:val="Heading1"/>
    <w:next w:val="Normal"/>
    <w:uiPriority w:val="39"/>
    <w:unhideWhenUsed/>
    <w:qFormat/>
    <w:rsid w:val="009724D8"/>
    <w:pPr>
      <w:outlineLvl w:val="9"/>
    </w:pPr>
    <w:rPr>
      <w:lang w:val="en-US"/>
    </w:rPr>
  </w:style>
  <w:style w:type="character" w:customStyle="1" w:styleId="Heading2Char">
    <w:name w:val="Heading 2 Char"/>
    <w:basedOn w:val="DefaultParagraphFont"/>
    <w:link w:val="Heading2"/>
    <w:uiPriority w:val="9"/>
    <w:rsid w:val="00EB639F"/>
    <w:rPr>
      <w:rFonts w:ascii="Arial" w:eastAsiaTheme="majorEastAsia" w:hAnsi="Arial" w:cstheme="majorBidi"/>
      <w:b/>
      <w:bCs/>
      <w:color w:val="000000" w:themeColor="text1"/>
      <w:sz w:val="24"/>
      <w:szCs w:val="26"/>
    </w:rPr>
  </w:style>
  <w:style w:type="character" w:customStyle="1" w:styleId="Heading3Char">
    <w:name w:val="Heading 3 Char"/>
    <w:basedOn w:val="DefaultParagraphFont"/>
    <w:link w:val="Heading3"/>
    <w:uiPriority w:val="9"/>
    <w:rsid w:val="00283D56"/>
    <w:rPr>
      <w:rFonts w:ascii="Arial" w:eastAsiaTheme="majorEastAsia" w:hAnsi="Arial" w:cstheme="majorBidi"/>
      <w:b/>
      <w:bCs/>
      <w:color w:val="000000" w:themeColor="text1"/>
      <w:sz w:val="24"/>
    </w:rPr>
  </w:style>
  <w:style w:type="character" w:customStyle="1" w:styleId="Heading4Char">
    <w:name w:val="Heading 4 Char"/>
    <w:basedOn w:val="DefaultParagraphFont"/>
    <w:link w:val="Heading4"/>
    <w:uiPriority w:val="9"/>
    <w:rsid w:val="009724D8"/>
    <w:rPr>
      <w:rFonts w:ascii="Arial" w:eastAsiaTheme="majorEastAsia" w:hAnsi="Arial" w:cstheme="majorBidi"/>
      <w:b/>
      <w:bCs/>
      <w:i/>
      <w:iCs/>
      <w:color w:val="4F81BD" w:themeColor="accent1"/>
    </w:rPr>
  </w:style>
  <w:style w:type="paragraph" w:styleId="TOC1">
    <w:name w:val="toc 1"/>
    <w:basedOn w:val="Normal"/>
    <w:next w:val="Normal"/>
    <w:autoRedefine/>
    <w:uiPriority w:val="39"/>
    <w:unhideWhenUsed/>
    <w:rsid w:val="00955D6E"/>
    <w:pPr>
      <w:tabs>
        <w:tab w:val="left" w:pos="440"/>
        <w:tab w:val="right" w:leader="dot" w:pos="9016"/>
      </w:tabs>
      <w:spacing w:after="100"/>
    </w:pPr>
    <w:rPr>
      <w:rFonts w:ascii="Arial" w:hAnsi="Arial"/>
      <w:b/>
      <w:noProof/>
    </w:rPr>
  </w:style>
  <w:style w:type="paragraph" w:styleId="TOC2">
    <w:name w:val="toc 2"/>
    <w:basedOn w:val="Normal"/>
    <w:next w:val="Normal"/>
    <w:autoRedefine/>
    <w:uiPriority w:val="39"/>
    <w:unhideWhenUsed/>
    <w:rsid w:val="004A3717"/>
    <w:pPr>
      <w:spacing w:after="100"/>
      <w:ind w:left="220"/>
    </w:pPr>
    <w:rPr>
      <w:rFonts w:ascii="Arial" w:hAnsi="Arial"/>
    </w:rPr>
  </w:style>
  <w:style w:type="paragraph" w:styleId="TOC3">
    <w:name w:val="toc 3"/>
    <w:basedOn w:val="Normal"/>
    <w:next w:val="Normal"/>
    <w:autoRedefine/>
    <w:uiPriority w:val="39"/>
    <w:unhideWhenUsed/>
    <w:rsid w:val="004A3717"/>
    <w:pPr>
      <w:spacing w:after="100"/>
      <w:ind w:left="440"/>
    </w:pPr>
    <w:rPr>
      <w:rFonts w:ascii="Arial" w:hAnsi="Arial"/>
    </w:rPr>
  </w:style>
  <w:style w:type="paragraph" w:styleId="TOC4">
    <w:name w:val="toc 4"/>
    <w:basedOn w:val="Normal"/>
    <w:next w:val="Normal"/>
    <w:autoRedefine/>
    <w:uiPriority w:val="39"/>
    <w:semiHidden/>
    <w:unhideWhenUsed/>
    <w:rsid w:val="004A3717"/>
    <w:pPr>
      <w:spacing w:after="100"/>
      <w:ind w:left="660"/>
    </w:pPr>
    <w:rPr>
      <w:rFonts w:ascii="Arial" w:hAnsi="Arial"/>
    </w:rPr>
  </w:style>
  <w:style w:type="character" w:customStyle="1" w:styleId="Heading7Char">
    <w:name w:val="Heading 7 Char"/>
    <w:basedOn w:val="DefaultParagraphFont"/>
    <w:link w:val="Heading7"/>
    <w:uiPriority w:val="9"/>
    <w:semiHidden/>
    <w:rsid w:val="00EB639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B639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B639F"/>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EB63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639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B639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B639F"/>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EB639F"/>
    <w:rPr>
      <w:b/>
      <w:bCs/>
      <w:i/>
      <w:iCs/>
      <w:color w:val="4F81BD" w:themeColor="accent1"/>
    </w:rPr>
  </w:style>
  <w:style w:type="paragraph" w:customStyle="1" w:styleId="Standardtableparagraph">
    <w:name w:val="Standard table paragraph"/>
    <w:basedOn w:val="Standardparagraph"/>
    <w:qFormat/>
    <w:rsid w:val="00CC28A5"/>
    <w:pPr>
      <w:spacing w:before="120" w:after="120" w:line="276" w:lineRule="auto"/>
      <w:ind w:left="181"/>
    </w:pPr>
    <w:rPr>
      <w:sz w:val="20"/>
      <w:lang w:eastAsia="en-GB"/>
    </w:rPr>
  </w:style>
  <w:style w:type="paragraph" w:customStyle="1" w:styleId="StandardAppendixHeading">
    <w:name w:val="Standard Appendix Heading"/>
    <w:basedOn w:val="Heading1"/>
    <w:next w:val="Standardparagraph"/>
    <w:qFormat/>
    <w:rsid w:val="00103DE9"/>
    <w:pPr>
      <w:numPr>
        <w:numId w:val="0"/>
      </w:numPr>
    </w:pPr>
    <w:rPr>
      <w:rFonts w:eastAsia="Times New Roman"/>
      <w:lang w:eastAsia="en-GB"/>
    </w:rPr>
  </w:style>
  <w:style w:type="paragraph" w:customStyle="1" w:styleId="FrontPageTitle">
    <w:name w:val="Front Page Title"/>
    <w:basedOn w:val="Normal"/>
    <w:qFormat/>
    <w:rsid w:val="00955D6E"/>
    <w:rPr>
      <w:rFonts w:ascii="Arial" w:eastAsiaTheme="majorEastAsia" w:hAnsi="Arial" w:cstheme="majorBidi"/>
      <w:b/>
      <w:color w:val="548DD4" w:themeColor="text2" w:themeTint="99"/>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42625470">
      <w:bodyDiv w:val="1"/>
      <w:marLeft w:val="0"/>
      <w:marRight w:val="0"/>
      <w:marTop w:val="0"/>
      <w:marBottom w:val="0"/>
      <w:divBdr>
        <w:top w:val="none" w:sz="0" w:space="0" w:color="auto"/>
        <w:left w:val="none" w:sz="0" w:space="0" w:color="auto"/>
        <w:bottom w:val="none" w:sz="0" w:space="0" w:color="auto"/>
        <w:right w:val="none" w:sz="0" w:space="0" w:color="auto"/>
      </w:divBdr>
    </w:div>
    <w:div w:id="287472592">
      <w:bodyDiv w:val="1"/>
      <w:marLeft w:val="0"/>
      <w:marRight w:val="0"/>
      <w:marTop w:val="0"/>
      <w:marBottom w:val="0"/>
      <w:divBdr>
        <w:top w:val="none" w:sz="0" w:space="0" w:color="auto"/>
        <w:left w:val="none" w:sz="0" w:space="0" w:color="auto"/>
        <w:bottom w:val="none" w:sz="0" w:space="0" w:color="auto"/>
        <w:right w:val="none" w:sz="0" w:space="0" w:color="auto"/>
      </w:divBdr>
    </w:div>
    <w:div w:id="428309034">
      <w:bodyDiv w:val="1"/>
      <w:marLeft w:val="0"/>
      <w:marRight w:val="0"/>
      <w:marTop w:val="0"/>
      <w:marBottom w:val="0"/>
      <w:divBdr>
        <w:top w:val="none" w:sz="0" w:space="0" w:color="auto"/>
        <w:left w:val="none" w:sz="0" w:space="0" w:color="auto"/>
        <w:bottom w:val="none" w:sz="0" w:space="0" w:color="auto"/>
        <w:right w:val="none" w:sz="0" w:space="0" w:color="auto"/>
      </w:divBdr>
    </w:div>
    <w:div w:id="646057499">
      <w:bodyDiv w:val="1"/>
      <w:marLeft w:val="0"/>
      <w:marRight w:val="0"/>
      <w:marTop w:val="0"/>
      <w:marBottom w:val="0"/>
      <w:divBdr>
        <w:top w:val="none" w:sz="0" w:space="0" w:color="auto"/>
        <w:left w:val="none" w:sz="0" w:space="0" w:color="auto"/>
        <w:bottom w:val="none" w:sz="0" w:space="0" w:color="auto"/>
        <w:right w:val="none" w:sz="0" w:space="0" w:color="auto"/>
      </w:divBdr>
    </w:div>
    <w:div w:id="672294059">
      <w:bodyDiv w:val="1"/>
      <w:marLeft w:val="0"/>
      <w:marRight w:val="0"/>
      <w:marTop w:val="0"/>
      <w:marBottom w:val="0"/>
      <w:divBdr>
        <w:top w:val="none" w:sz="0" w:space="0" w:color="auto"/>
        <w:left w:val="none" w:sz="0" w:space="0" w:color="auto"/>
        <w:bottom w:val="none" w:sz="0" w:space="0" w:color="auto"/>
        <w:right w:val="none" w:sz="0" w:space="0" w:color="auto"/>
      </w:divBdr>
    </w:div>
    <w:div w:id="727069325">
      <w:bodyDiv w:val="1"/>
      <w:marLeft w:val="0"/>
      <w:marRight w:val="0"/>
      <w:marTop w:val="0"/>
      <w:marBottom w:val="0"/>
      <w:divBdr>
        <w:top w:val="none" w:sz="0" w:space="0" w:color="auto"/>
        <w:left w:val="none" w:sz="0" w:space="0" w:color="auto"/>
        <w:bottom w:val="none" w:sz="0" w:space="0" w:color="auto"/>
        <w:right w:val="none" w:sz="0" w:space="0" w:color="auto"/>
      </w:divBdr>
    </w:div>
    <w:div w:id="858467132">
      <w:bodyDiv w:val="1"/>
      <w:marLeft w:val="0"/>
      <w:marRight w:val="0"/>
      <w:marTop w:val="0"/>
      <w:marBottom w:val="0"/>
      <w:divBdr>
        <w:top w:val="none" w:sz="0" w:space="0" w:color="auto"/>
        <w:left w:val="none" w:sz="0" w:space="0" w:color="auto"/>
        <w:bottom w:val="none" w:sz="0" w:space="0" w:color="auto"/>
        <w:right w:val="none" w:sz="0" w:space="0" w:color="auto"/>
      </w:divBdr>
    </w:div>
    <w:div w:id="1647391567">
      <w:bodyDiv w:val="1"/>
      <w:marLeft w:val="0"/>
      <w:marRight w:val="0"/>
      <w:marTop w:val="0"/>
      <w:marBottom w:val="0"/>
      <w:divBdr>
        <w:top w:val="none" w:sz="0" w:space="0" w:color="auto"/>
        <w:left w:val="none" w:sz="0" w:space="0" w:color="auto"/>
        <w:bottom w:val="none" w:sz="0" w:space="0" w:color="auto"/>
        <w:right w:val="none" w:sz="0" w:space="0" w:color="auto"/>
      </w:divBdr>
      <w:divsChild>
        <w:div w:id="1401756573">
          <w:marLeft w:val="0"/>
          <w:marRight w:val="0"/>
          <w:marTop w:val="0"/>
          <w:marBottom w:val="0"/>
          <w:divBdr>
            <w:top w:val="none" w:sz="0" w:space="0" w:color="auto"/>
            <w:left w:val="none" w:sz="0" w:space="0" w:color="auto"/>
            <w:bottom w:val="none" w:sz="0" w:space="0" w:color="auto"/>
            <w:right w:val="none" w:sz="0" w:space="0" w:color="auto"/>
          </w:divBdr>
          <w:divsChild>
            <w:div w:id="1140923279">
              <w:marLeft w:val="0"/>
              <w:marRight w:val="0"/>
              <w:marTop w:val="0"/>
              <w:marBottom w:val="0"/>
              <w:divBdr>
                <w:top w:val="none" w:sz="0" w:space="0" w:color="auto"/>
                <w:left w:val="none" w:sz="0" w:space="0" w:color="auto"/>
                <w:bottom w:val="none" w:sz="0" w:space="0" w:color="auto"/>
                <w:right w:val="none" w:sz="0" w:space="0" w:color="auto"/>
              </w:divBdr>
              <w:divsChild>
                <w:div w:id="1469281033">
                  <w:marLeft w:val="2690"/>
                  <w:marRight w:val="0"/>
                  <w:marTop w:val="0"/>
                  <w:marBottom w:val="0"/>
                  <w:divBdr>
                    <w:top w:val="none" w:sz="0" w:space="0" w:color="auto"/>
                    <w:left w:val="none" w:sz="0" w:space="0" w:color="auto"/>
                    <w:bottom w:val="none" w:sz="0" w:space="0" w:color="auto"/>
                    <w:right w:val="none" w:sz="0" w:space="0" w:color="auto"/>
                  </w:divBdr>
                  <w:divsChild>
                    <w:div w:id="897671027">
                      <w:marLeft w:val="0"/>
                      <w:marRight w:val="0"/>
                      <w:marTop w:val="0"/>
                      <w:marBottom w:val="264"/>
                      <w:divBdr>
                        <w:top w:val="none" w:sz="0" w:space="0" w:color="auto"/>
                        <w:left w:val="none" w:sz="0" w:space="0" w:color="auto"/>
                        <w:bottom w:val="none" w:sz="0" w:space="0" w:color="auto"/>
                        <w:right w:val="none" w:sz="0" w:space="0" w:color="auto"/>
                      </w:divBdr>
                      <w:divsChild>
                        <w:div w:id="471335347">
                          <w:marLeft w:val="0"/>
                          <w:marRight w:val="0"/>
                          <w:marTop w:val="0"/>
                          <w:marBottom w:val="0"/>
                          <w:divBdr>
                            <w:top w:val="none" w:sz="0" w:space="0" w:color="auto"/>
                            <w:left w:val="none" w:sz="0" w:space="0" w:color="auto"/>
                            <w:bottom w:val="none" w:sz="0" w:space="0" w:color="auto"/>
                            <w:right w:val="none" w:sz="0" w:space="0" w:color="auto"/>
                          </w:divBdr>
                          <w:divsChild>
                            <w:div w:id="168821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18" Type="http://schemas.microsoft.com/office/2007/relationships/diagramDrawing" Target="diagrams/drawing2.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Colors" Target="diagrams/colors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 Id="rId22" Type="http://schemas.openxmlformats.org/officeDocument/2006/relationships/footer" Target="footer3.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3E2EE0-7BC8-41A1-9B1A-7BD62E4C6B8A}" type="doc">
      <dgm:prSet loTypeId="urn:microsoft.com/office/officeart/2005/8/layout/cycle5" loCatId="cycle" qsTypeId="urn:microsoft.com/office/officeart/2005/8/quickstyle/simple5" qsCatId="simple" csTypeId="urn:microsoft.com/office/officeart/2005/8/colors/accent1_2" csCatId="accent1" phldr="1"/>
      <dgm:spPr/>
      <dgm:t>
        <a:bodyPr/>
        <a:lstStyle/>
        <a:p>
          <a:endParaRPr lang="en-GB"/>
        </a:p>
      </dgm:t>
    </dgm:pt>
    <dgm:pt modelId="{1310FD8A-6435-4A40-9320-FBBBBC2BA910}">
      <dgm:prSet phldrT="[Text]" custT="1"/>
      <dgm:spPr>
        <a:xfrm>
          <a:off x="2171923" y="1764"/>
          <a:ext cx="1142553" cy="742659"/>
        </a:xfr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sz="1200">
              <a:solidFill>
                <a:sysClr val="window" lastClr="FFFFFF"/>
              </a:solidFill>
              <a:latin typeface="Calibri"/>
              <a:ea typeface="+mn-ea"/>
              <a:cs typeface="+mn-cs"/>
            </a:rPr>
            <a:t>1. Identification </a:t>
          </a:r>
          <a:r>
            <a:rPr lang="en-GB" sz="900">
              <a:solidFill>
                <a:sysClr val="window" lastClr="FFFFFF"/>
              </a:solidFill>
              <a:latin typeface="Calibri"/>
              <a:ea typeface="+mn-ea"/>
              <a:cs typeface="+mn-cs"/>
            </a:rPr>
            <a:t>what are the risks?</a:t>
          </a:r>
        </a:p>
      </dgm:t>
    </dgm:pt>
    <dgm:pt modelId="{6239A844-4F0A-4604-B081-D8E725DB0FF1}" type="parTrans" cxnId="{5EF54B41-4092-43D7-8838-B6A6BFA1DF07}">
      <dgm:prSet/>
      <dgm:spPr/>
      <dgm:t>
        <a:bodyPr/>
        <a:lstStyle/>
        <a:p>
          <a:endParaRPr lang="en-GB"/>
        </a:p>
      </dgm:t>
    </dgm:pt>
    <dgm:pt modelId="{CC0A3179-B9F2-4326-8954-8BAC2242B997}" type="sibTrans" cxnId="{5EF54B41-4092-43D7-8838-B6A6BFA1DF07}">
      <dgm:prSet>
        <dgm:style>
          <a:lnRef idx="3">
            <a:schemeClr val="accent5"/>
          </a:lnRef>
          <a:fillRef idx="0">
            <a:schemeClr val="accent5"/>
          </a:fillRef>
          <a:effectRef idx="2">
            <a:schemeClr val="accent5"/>
          </a:effectRef>
          <a:fontRef idx="minor">
            <a:schemeClr val="tx1"/>
          </a:fontRef>
        </dgm:style>
      </dgm:prSet>
      <dgm:spPr>
        <a:xfrm>
          <a:off x="1516093" y="373093"/>
          <a:ext cx="2454212" cy="2454212"/>
        </a:xfrm>
        <a:ln>
          <a:tailEnd type="triangle"/>
        </a:ln>
      </dgm:spPr>
      <dgm:t>
        <a:bodyPr/>
        <a:lstStyle/>
        <a:p>
          <a:endParaRPr lang="en-GB"/>
        </a:p>
      </dgm:t>
    </dgm:pt>
    <dgm:pt modelId="{B4B36D1C-4BEB-45DD-9F17-C221ECFFB14E}">
      <dgm:prSet phldrT="[Text]" custT="1"/>
      <dgm:spPr>
        <a:xfrm>
          <a:off x="3399029" y="1228870"/>
          <a:ext cx="1142553" cy="742659"/>
        </a:xfr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sz="1200">
              <a:solidFill>
                <a:sysClr val="window" lastClr="FFFFFF"/>
              </a:solidFill>
              <a:latin typeface="Calibri"/>
              <a:ea typeface="+mn-ea"/>
              <a:cs typeface="+mn-cs"/>
            </a:rPr>
            <a:t>2. Assessment </a:t>
          </a:r>
        </a:p>
        <a:p>
          <a:r>
            <a:rPr lang="en-GB" sz="900">
              <a:solidFill>
                <a:sysClr val="window" lastClr="FFFFFF"/>
              </a:solidFill>
              <a:latin typeface="Calibri"/>
              <a:ea typeface="+mn-ea"/>
              <a:cs typeface="+mn-cs"/>
            </a:rPr>
            <a:t>what is the likelihood and impact of the risks occurring?</a:t>
          </a:r>
        </a:p>
      </dgm:t>
    </dgm:pt>
    <dgm:pt modelId="{D8A87AE1-EAAA-484F-8513-6CD5D2CC13D4}" type="parTrans" cxnId="{55CAF9EA-1235-49FF-9E6F-219DB1B22619}">
      <dgm:prSet/>
      <dgm:spPr/>
      <dgm:t>
        <a:bodyPr/>
        <a:lstStyle/>
        <a:p>
          <a:endParaRPr lang="en-GB"/>
        </a:p>
      </dgm:t>
    </dgm:pt>
    <dgm:pt modelId="{065C2D7B-FA90-4BA7-9A91-D5F6F0BD04EC}" type="sibTrans" cxnId="{55CAF9EA-1235-49FF-9E6F-219DB1B22619}">
      <dgm:prSet>
        <dgm:style>
          <a:lnRef idx="3">
            <a:schemeClr val="accent5"/>
          </a:lnRef>
          <a:fillRef idx="0">
            <a:schemeClr val="accent5"/>
          </a:fillRef>
          <a:effectRef idx="2">
            <a:schemeClr val="accent5"/>
          </a:effectRef>
          <a:fontRef idx="minor">
            <a:schemeClr val="tx1"/>
          </a:fontRef>
        </dgm:style>
      </dgm:prSet>
      <dgm:spPr>
        <a:xfrm>
          <a:off x="1516093" y="373093"/>
          <a:ext cx="2454212" cy="2454212"/>
        </a:xfrm>
        <a:ln>
          <a:tailEnd type="triangle"/>
        </a:ln>
      </dgm:spPr>
      <dgm:t>
        <a:bodyPr/>
        <a:lstStyle/>
        <a:p>
          <a:endParaRPr lang="en-GB"/>
        </a:p>
      </dgm:t>
    </dgm:pt>
    <dgm:pt modelId="{73883ADA-C312-497C-8B34-1758BB6023EE}">
      <dgm:prSet phldrT="[Text]" custT="1"/>
      <dgm:spPr>
        <a:xfrm>
          <a:off x="2171923" y="2455976"/>
          <a:ext cx="1142553" cy="742659"/>
        </a:xfr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sz="1200">
              <a:solidFill>
                <a:sysClr val="window" lastClr="FFFFFF"/>
              </a:solidFill>
              <a:latin typeface="Calibri"/>
              <a:ea typeface="+mn-ea"/>
              <a:cs typeface="+mn-cs"/>
            </a:rPr>
            <a:t>3. Control</a:t>
          </a:r>
        </a:p>
        <a:p>
          <a:r>
            <a:rPr lang="en-GB" sz="900">
              <a:solidFill>
                <a:sysClr val="window" lastClr="FFFFFF"/>
              </a:solidFill>
              <a:latin typeface="Calibri"/>
              <a:ea typeface="+mn-ea"/>
              <a:cs typeface="+mn-cs"/>
            </a:rPr>
            <a:t>what can we do to reduce the likelihood and impact of the risks occuring?</a:t>
          </a:r>
        </a:p>
      </dgm:t>
    </dgm:pt>
    <dgm:pt modelId="{53490E95-CE00-44F3-AE99-102919A3E2B3}" type="parTrans" cxnId="{0D9DB0FE-F807-4BE7-8A64-CDE4F5282920}">
      <dgm:prSet/>
      <dgm:spPr/>
      <dgm:t>
        <a:bodyPr/>
        <a:lstStyle/>
        <a:p>
          <a:endParaRPr lang="en-GB"/>
        </a:p>
      </dgm:t>
    </dgm:pt>
    <dgm:pt modelId="{70270AE5-4746-4767-8BD9-B97514E368AF}" type="sibTrans" cxnId="{0D9DB0FE-F807-4BE7-8A64-CDE4F5282920}">
      <dgm:prSet>
        <dgm:style>
          <a:lnRef idx="3">
            <a:schemeClr val="accent5"/>
          </a:lnRef>
          <a:fillRef idx="0">
            <a:schemeClr val="accent5"/>
          </a:fillRef>
          <a:effectRef idx="2">
            <a:schemeClr val="accent5"/>
          </a:effectRef>
          <a:fontRef idx="minor">
            <a:schemeClr val="tx1"/>
          </a:fontRef>
        </dgm:style>
      </dgm:prSet>
      <dgm:spPr>
        <a:xfrm>
          <a:off x="1516093" y="373093"/>
          <a:ext cx="2454212" cy="2454212"/>
        </a:xfrm>
        <a:ln>
          <a:tailEnd type="triangle"/>
        </a:ln>
      </dgm:spPr>
      <dgm:t>
        <a:bodyPr/>
        <a:lstStyle/>
        <a:p>
          <a:endParaRPr lang="en-GB"/>
        </a:p>
      </dgm:t>
    </dgm:pt>
    <dgm:pt modelId="{E23F3E88-576D-42DA-B896-8EE05C13447D}">
      <dgm:prSet phldrT="[Text]" custT="1"/>
      <dgm:spPr>
        <a:xfrm>
          <a:off x="944817" y="1228870"/>
          <a:ext cx="1142553" cy="742659"/>
        </a:xfr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sz="1200">
              <a:solidFill>
                <a:sysClr val="window" lastClr="FFFFFF"/>
              </a:solidFill>
              <a:latin typeface="Calibri"/>
              <a:ea typeface="+mn-ea"/>
              <a:cs typeface="+mn-cs"/>
            </a:rPr>
            <a:t>4. Monitoring</a:t>
          </a:r>
        </a:p>
        <a:p>
          <a:r>
            <a:rPr lang="en-GB" sz="900">
              <a:solidFill>
                <a:sysClr val="window" lastClr="FFFFFF"/>
              </a:solidFill>
              <a:latin typeface="Calibri"/>
              <a:ea typeface="+mn-ea"/>
              <a:cs typeface="+mn-cs"/>
            </a:rPr>
            <a:t>has the situation changed and are the mitigation measures working?</a:t>
          </a:r>
        </a:p>
      </dgm:t>
    </dgm:pt>
    <dgm:pt modelId="{2934CD4B-078E-4623-BDE7-1484DBD10389}" type="parTrans" cxnId="{6C9E58F0-C9CA-467F-9E69-B2D279854A48}">
      <dgm:prSet/>
      <dgm:spPr/>
      <dgm:t>
        <a:bodyPr/>
        <a:lstStyle/>
        <a:p>
          <a:endParaRPr lang="en-GB"/>
        </a:p>
      </dgm:t>
    </dgm:pt>
    <dgm:pt modelId="{F8C6129D-C397-4BCF-9B89-59144F3D16FF}" type="sibTrans" cxnId="{6C9E58F0-C9CA-467F-9E69-B2D279854A48}">
      <dgm:prSet>
        <dgm:style>
          <a:lnRef idx="3">
            <a:schemeClr val="accent5"/>
          </a:lnRef>
          <a:fillRef idx="0">
            <a:schemeClr val="accent5"/>
          </a:fillRef>
          <a:effectRef idx="2">
            <a:schemeClr val="accent5"/>
          </a:effectRef>
          <a:fontRef idx="minor">
            <a:schemeClr val="tx1"/>
          </a:fontRef>
        </dgm:style>
      </dgm:prSet>
      <dgm:spPr>
        <a:xfrm>
          <a:off x="1516093" y="373093"/>
          <a:ext cx="2454212" cy="2454212"/>
        </a:xfrm>
        <a:ln>
          <a:tailEnd type="triangle"/>
        </a:ln>
      </dgm:spPr>
      <dgm:t>
        <a:bodyPr/>
        <a:lstStyle/>
        <a:p>
          <a:endParaRPr lang="en-GB"/>
        </a:p>
      </dgm:t>
    </dgm:pt>
    <dgm:pt modelId="{BE2F6492-ECF3-420A-BA7E-E032F7E335F3}" type="pres">
      <dgm:prSet presAssocID="{793E2EE0-7BC8-41A1-9B1A-7BD62E4C6B8A}" presName="cycle" presStyleCnt="0">
        <dgm:presLayoutVars>
          <dgm:dir/>
          <dgm:resizeHandles val="exact"/>
        </dgm:presLayoutVars>
      </dgm:prSet>
      <dgm:spPr/>
      <dgm:t>
        <a:bodyPr/>
        <a:lstStyle/>
        <a:p>
          <a:endParaRPr lang="en-GB"/>
        </a:p>
      </dgm:t>
    </dgm:pt>
    <dgm:pt modelId="{5943056A-C34E-4343-A6CD-6B50407C765B}" type="pres">
      <dgm:prSet presAssocID="{1310FD8A-6435-4A40-9320-FBBBBC2BA910}" presName="node" presStyleLbl="node1" presStyleIdx="0" presStyleCnt="4" custScaleX="122752">
        <dgm:presLayoutVars>
          <dgm:bulletEnabled val="1"/>
        </dgm:presLayoutVars>
      </dgm:prSet>
      <dgm:spPr>
        <a:prstGeom prst="roundRect">
          <a:avLst/>
        </a:prstGeom>
      </dgm:spPr>
      <dgm:t>
        <a:bodyPr/>
        <a:lstStyle/>
        <a:p>
          <a:endParaRPr lang="en-GB"/>
        </a:p>
      </dgm:t>
    </dgm:pt>
    <dgm:pt modelId="{33BE2668-980B-4172-B15B-5FB52EF1A8D2}" type="pres">
      <dgm:prSet presAssocID="{1310FD8A-6435-4A40-9320-FBBBBC2BA910}" presName="spNode" presStyleCnt="0"/>
      <dgm:spPr/>
      <dgm:t>
        <a:bodyPr/>
        <a:lstStyle/>
        <a:p>
          <a:endParaRPr lang="en-GB"/>
        </a:p>
      </dgm:t>
    </dgm:pt>
    <dgm:pt modelId="{061761AF-E5E3-4B67-B408-01435AB5096E}" type="pres">
      <dgm:prSet presAssocID="{CC0A3179-B9F2-4326-8954-8BAC2242B997}" presName="sibTrans" presStyleLbl="sibTrans1D1" presStyleIdx="0" presStyleCnt="4"/>
      <dgm:spPr>
        <a:custGeom>
          <a:avLst/>
          <a:gdLst/>
          <a:ahLst/>
          <a:cxnLst/>
          <a:rect l="0" t="0" r="0" b="0"/>
          <a:pathLst>
            <a:path>
              <a:moveTo>
                <a:pt x="1956148" y="240046"/>
              </a:moveTo>
              <a:arcTo wR="1227106" hR="1227106" stAng="18386976" swAng="1633936"/>
            </a:path>
          </a:pathLst>
        </a:custGeom>
      </dgm:spPr>
      <dgm:t>
        <a:bodyPr/>
        <a:lstStyle/>
        <a:p>
          <a:endParaRPr lang="en-GB"/>
        </a:p>
      </dgm:t>
    </dgm:pt>
    <dgm:pt modelId="{DF17EB3F-66E5-4DD8-AE8B-3077D86EEF49}" type="pres">
      <dgm:prSet presAssocID="{B4B36D1C-4BEB-45DD-9F17-C221ECFFB14E}" presName="node" presStyleLbl="node1" presStyleIdx="1" presStyleCnt="4" custScaleX="112870">
        <dgm:presLayoutVars>
          <dgm:bulletEnabled val="1"/>
        </dgm:presLayoutVars>
      </dgm:prSet>
      <dgm:spPr>
        <a:prstGeom prst="roundRect">
          <a:avLst/>
        </a:prstGeom>
      </dgm:spPr>
      <dgm:t>
        <a:bodyPr/>
        <a:lstStyle/>
        <a:p>
          <a:endParaRPr lang="en-GB"/>
        </a:p>
      </dgm:t>
    </dgm:pt>
    <dgm:pt modelId="{D8F594EA-F213-44C6-92D1-EE22382F696E}" type="pres">
      <dgm:prSet presAssocID="{B4B36D1C-4BEB-45DD-9F17-C221ECFFB14E}" presName="spNode" presStyleCnt="0"/>
      <dgm:spPr/>
      <dgm:t>
        <a:bodyPr/>
        <a:lstStyle/>
        <a:p>
          <a:endParaRPr lang="en-GB"/>
        </a:p>
      </dgm:t>
    </dgm:pt>
    <dgm:pt modelId="{55CF8FAB-CE67-4315-BE9B-C70759D6F704}" type="pres">
      <dgm:prSet presAssocID="{065C2D7B-FA90-4BA7-9A91-D5F6F0BD04EC}" presName="sibTrans" presStyleLbl="sibTrans1D1" presStyleIdx="1" presStyleCnt="4"/>
      <dgm:spPr>
        <a:custGeom>
          <a:avLst/>
          <a:gdLst/>
          <a:ahLst/>
          <a:cxnLst/>
          <a:rect l="0" t="0" r="0" b="0"/>
          <a:pathLst>
            <a:path>
              <a:moveTo>
                <a:pt x="2327017" y="1771149"/>
              </a:moveTo>
              <a:arcTo wR="1227106" hR="1227106" stAng="1579087" swAng="1633936"/>
            </a:path>
          </a:pathLst>
        </a:custGeom>
      </dgm:spPr>
      <dgm:t>
        <a:bodyPr/>
        <a:lstStyle/>
        <a:p>
          <a:endParaRPr lang="en-GB"/>
        </a:p>
      </dgm:t>
    </dgm:pt>
    <dgm:pt modelId="{C2BECAAA-3D25-4619-8493-0AD153813430}" type="pres">
      <dgm:prSet presAssocID="{73883ADA-C312-497C-8B34-1758BB6023EE}" presName="node" presStyleLbl="node1" presStyleIdx="2" presStyleCnt="4" custScaleX="121959">
        <dgm:presLayoutVars>
          <dgm:bulletEnabled val="1"/>
        </dgm:presLayoutVars>
      </dgm:prSet>
      <dgm:spPr>
        <a:prstGeom prst="roundRect">
          <a:avLst/>
        </a:prstGeom>
      </dgm:spPr>
      <dgm:t>
        <a:bodyPr/>
        <a:lstStyle/>
        <a:p>
          <a:endParaRPr lang="en-GB"/>
        </a:p>
      </dgm:t>
    </dgm:pt>
    <dgm:pt modelId="{66C91255-2217-482C-BD3B-B9B3F7EC2328}" type="pres">
      <dgm:prSet presAssocID="{73883ADA-C312-497C-8B34-1758BB6023EE}" presName="spNode" presStyleCnt="0"/>
      <dgm:spPr/>
      <dgm:t>
        <a:bodyPr/>
        <a:lstStyle/>
        <a:p>
          <a:endParaRPr lang="en-GB"/>
        </a:p>
      </dgm:t>
    </dgm:pt>
    <dgm:pt modelId="{139B93D7-2801-4907-8FE0-45B0ABA196A5}" type="pres">
      <dgm:prSet presAssocID="{70270AE5-4746-4767-8BD9-B97514E368AF}" presName="sibTrans" presStyleLbl="sibTrans1D1" presStyleIdx="2" presStyleCnt="4"/>
      <dgm:spPr>
        <a:custGeom>
          <a:avLst/>
          <a:gdLst/>
          <a:ahLst/>
          <a:cxnLst/>
          <a:rect l="0" t="0" r="0" b="0"/>
          <a:pathLst>
            <a:path>
              <a:moveTo>
                <a:pt x="498063" y="2214165"/>
              </a:moveTo>
              <a:arcTo wR="1227106" hR="1227106" stAng="7586976" swAng="1633936"/>
            </a:path>
          </a:pathLst>
        </a:custGeom>
      </dgm:spPr>
      <dgm:t>
        <a:bodyPr/>
        <a:lstStyle/>
        <a:p>
          <a:endParaRPr lang="en-GB"/>
        </a:p>
      </dgm:t>
    </dgm:pt>
    <dgm:pt modelId="{7D20DD11-71F1-499E-96BB-DE5D14CFC10A}" type="pres">
      <dgm:prSet presAssocID="{E23F3E88-576D-42DA-B896-8EE05C13447D}" presName="node" presStyleLbl="node1" presStyleIdx="3" presStyleCnt="4" custScaleX="122691">
        <dgm:presLayoutVars>
          <dgm:bulletEnabled val="1"/>
        </dgm:presLayoutVars>
      </dgm:prSet>
      <dgm:spPr>
        <a:prstGeom prst="roundRect">
          <a:avLst/>
        </a:prstGeom>
      </dgm:spPr>
      <dgm:t>
        <a:bodyPr/>
        <a:lstStyle/>
        <a:p>
          <a:endParaRPr lang="en-GB"/>
        </a:p>
      </dgm:t>
    </dgm:pt>
    <dgm:pt modelId="{E3D75C42-4284-4C09-BED3-92EC953DDC32}" type="pres">
      <dgm:prSet presAssocID="{E23F3E88-576D-42DA-B896-8EE05C13447D}" presName="spNode" presStyleCnt="0"/>
      <dgm:spPr/>
      <dgm:t>
        <a:bodyPr/>
        <a:lstStyle/>
        <a:p>
          <a:endParaRPr lang="en-GB"/>
        </a:p>
      </dgm:t>
    </dgm:pt>
    <dgm:pt modelId="{2B71B88F-E712-4EA1-A129-8CFE33A7B65C}" type="pres">
      <dgm:prSet presAssocID="{F8C6129D-C397-4BCF-9B89-59144F3D16FF}" presName="sibTrans" presStyleLbl="sibTrans1D1" presStyleIdx="3" presStyleCnt="4"/>
      <dgm:spPr>
        <a:custGeom>
          <a:avLst/>
          <a:gdLst/>
          <a:ahLst/>
          <a:cxnLst/>
          <a:rect l="0" t="0" r="0" b="0"/>
          <a:pathLst>
            <a:path>
              <a:moveTo>
                <a:pt x="127194" y="683062"/>
              </a:moveTo>
              <a:arcTo wR="1227106" hR="1227106" stAng="12379087" swAng="1633936"/>
            </a:path>
          </a:pathLst>
        </a:custGeom>
      </dgm:spPr>
      <dgm:t>
        <a:bodyPr/>
        <a:lstStyle/>
        <a:p>
          <a:endParaRPr lang="en-GB"/>
        </a:p>
      </dgm:t>
    </dgm:pt>
  </dgm:ptLst>
  <dgm:cxnLst>
    <dgm:cxn modelId="{C91E0A03-6523-46EC-A156-46A3EBC4BD71}" type="presOf" srcId="{B4B36D1C-4BEB-45DD-9F17-C221ECFFB14E}" destId="{DF17EB3F-66E5-4DD8-AE8B-3077D86EEF49}" srcOrd="0" destOrd="0" presId="urn:microsoft.com/office/officeart/2005/8/layout/cycle5"/>
    <dgm:cxn modelId="{11098845-3490-47D7-BA58-C2BE33AEE219}" type="presOf" srcId="{793E2EE0-7BC8-41A1-9B1A-7BD62E4C6B8A}" destId="{BE2F6492-ECF3-420A-BA7E-E032F7E335F3}" srcOrd="0" destOrd="0" presId="urn:microsoft.com/office/officeart/2005/8/layout/cycle5"/>
    <dgm:cxn modelId="{7663BBF4-4ADD-4D0C-8311-9DC624765D85}" type="presOf" srcId="{065C2D7B-FA90-4BA7-9A91-D5F6F0BD04EC}" destId="{55CF8FAB-CE67-4315-BE9B-C70759D6F704}" srcOrd="0" destOrd="0" presId="urn:microsoft.com/office/officeart/2005/8/layout/cycle5"/>
    <dgm:cxn modelId="{BD2279C2-E039-49E2-8D10-60C03610FF1F}" type="presOf" srcId="{73883ADA-C312-497C-8B34-1758BB6023EE}" destId="{C2BECAAA-3D25-4619-8493-0AD153813430}" srcOrd="0" destOrd="0" presId="urn:microsoft.com/office/officeart/2005/8/layout/cycle5"/>
    <dgm:cxn modelId="{55CAF9EA-1235-49FF-9E6F-219DB1B22619}" srcId="{793E2EE0-7BC8-41A1-9B1A-7BD62E4C6B8A}" destId="{B4B36D1C-4BEB-45DD-9F17-C221ECFFB14E}" srcOrd="1" destOrd="0" parTransId="{D8A87AE1-EAAA-484F-8513-6CD5D2CC13D4}" sibTransId="{065C2D7B-FA90-4BA7-9A91-D5F6F0BD04EC}"/>
    <dgm:cxn modelId="{6C9E58F0-C9CA-467F-9E69-B2D279854A48}" srcId="{793E2EE0-7BC8-41A1-9B1A-7BD62E4C6B8A}" destId="{E23F3E88-576D-42DA-B896-8EE05C13447D}" srcOrd="3" destOrd="0" parTransId="{2934CD4B-078E-4623-BDE7-1484DBD10389}" sibTransId="{F8C6129D-C397-4BCF-9B89-59144F3D16FF}"/>
    <dgm:cxn modelId="{0D9DB0FE-F807-4BE7-8A64-CDE4F5282920}" srcId="{793E2EE0-7BC8-41A1-9B1A-7BD62E4C6B8A}" destId="{73883ADA-C312-497C-8B34-1758BB6023EE}" srcOrd="2" destOrd="0" parTransId="{53490E95-CE00-44F3-AE99-102919A3E2B3}" sibTransId="{70270AE5-4746-4767-8BD9-B97514E368AF}"/>
    <dgm:cxn modelId="{07D17100-6E25-4BAF-87DD-57A48C6D6A99}" type="presOf" srcId="{1310FD8A-6435-4A40-9320-FBBBBC2BA910}" destId="{5943056A-C34E-4343-A6CD-6B50407C765B}" srcOrd="0" destOrd="0" presId="urn:microsoft.com/office/officeart/2005/8/layout/cycle5"/>
    <dgm:cxn modelId="{BB7017EF-F5EF-4296-894C-7B47BD4C8B8E}" type="presOf" srcId="{CC0A3179-B9F2-4326-8954-8BAC2242B997}" destId="{061761AF-E5E3-4B67-B408-01435AB5096E}" srcOrd="0" destOrd="0" presId="urn:microsoft.com/office/officeart/2005/8/layout/cycle5"/>
    <dgm:cxn modelId="{5EF54B41-4092-43D7-8838-B6A6BFA1DF07}" srcId="{793E2EE0-7BC8-41A1-9B1A-7BD62E4C6B8A}" destId="{1310FD8A-6435-4A40-9320-FBBBBC2BA910}" srcOrd="0" destOrd="0" parTransId="{6239A844-4F0A-4604-B081-D8E725DB0FF1}" sibTransId="{CC0A3179-B9F2-4326-8954-8BAC2242B997}"/>
    <dgm:cxn modelId="{31541B73-31CD-427C-9E67-135C98EA5466}" type="presOf" srcId="{70270AE5-4746-4767-8BD9-B97514E368AF}" destId="{139B93D7-2801-4907-8FE0-45B0ABA196A5}" srcOrd="0" destOrd="0" presId="urn:microsoft.com/office/officeart/2005/8/layout/cycle5"/>
    <dgm:cxn modelId="{432F123A-65CD-4830-A023-BAF6C4316731}" type="presOf" srcId="{E23F3E88-576D-42DA-B896-8EE05C13447D}" destId="{7D20DD11-71F1-499E-96BB-DE5D14CFC10A}" srcOrd="0" destOrd="0" presId="urn:microsoft.com/office/officeart/2005/8/layout/cycle5"/>
    <dgm:cxn modelId="{9E6AEA66-F06F-425C-8B17-CB2BDF150108}" type="presOf" srcId="{F8C6129D-C397-4BCF-9B89-59144F3D16FF}" destId="{2B71B88F-E712-4EA1-A129-8CFE33A7B65C}" srcOrd="0" destOrd="0" presId="urn:microsoft.com/office/officeart/2005/8/layout/cycle5"/>
    <dgm:cxn modelId="{3B2AFB08-743B-47D1-9D4C-2CAA1977EE50}" type="presParOf" srcId="{BE2F6492-ECF3-420A-BA7E-E032F7E335F3}" destId="{5943056A-C34E-4343-A6CD-6B50407C765B}" srcOrd="0" destOrd="0" presId="urn:microsoft.com/office/officeart/2005/8/layout/cycle5"/>
    <dgm:cxn modelId="{D0B1DA02-D261-43CB-B5EE-A8A8B84F4628}" type="presParOf" srcId="{BE2F6492-ECF3-420A-BA7E-E032F7E335F3}" destId="{33BE2668-980B-4172-B15B-5FB52EF1A8D2}" srcOrd="1" destOrd="0" presId="urn:microsoft.com/office/officeart/2005/8/layout/cycle5"/>
    <dgm:cxn modelId="{276CACE8-282B-42BA-92D6-D81FF81237DD}" type="presParOf" srcId="{BE2F6492-ECF3-420A-BA7E-E032F7E335F3}" destId="{061761AF-E5E3-4B67-B408-01435AB5096E}" srcOrd="2" destOrd="0" presId="urn:microsoft.com/office/officeart/2005/8/layout/cycle5"/>
    <dgm:cxn modelId="{73BDA1D8-C95A-403F-8474-D68A31ED4A1A}" type="presParOf" srcId="{BE2F6492-ECF3-420A-BA7E-E032F7E335F3}" destId="{DF17EB3F-66E5-4DD8-AE8B-3077D86EEF49}" srcOrd="3" destOrd="0" presId="urn:microsoft.com/office/officeart/2005/8/layout/cycle5"/>
    <dgm:cxn modelId="{B3E5EEBD-6801-4E90-9DDE-65DD8DAB4641}" type="presParOf" srcId="{BE2F6492-ECF3-420A-BA7E-E032F7E335F3}" destId="{D8F594EA-F213-44C6-92D1-EE22382F696E}" srcOrd="4" destOrd="0" presId="urn:microsoft.com/office/officeart/2005/8/layout/cycle5"/>
    <dgm:cxn modelId="{FA4109D3-7FE7-4C14-80F4-F9136E9DEE15}" type="presParOf" srcId="{BE2F6492-ECF3-420A-BA7E-E032F7E335F3}" destId="{55CF8FAB-CE67-4315-BE9B-C70759D6F704}" srcOrd="5" destOrd="0" presId="urn:microsoft.com/office/officeart/2005/8/layout/cycle5"/>
    <dgm:cxn modelId="{3C6D300E-21F8-4D0B-9AB7-BE417D3F09AD}" type="presParOf" srcId="{BE2F6492-ECF3-420A-BA7E-E032F7E335F3}" destId="{C2BECAAA-3D25-4619-8493-0AD153813430}" srcOrd="6" destOrd="0" presId="urn:microsoft.com/office/officeart/2005/8/layout/cycle5"/>
    <dgm:cxn modelId="{3A054932-8355-4B1B-958C-27E21CD9F891}" type="presParOf" srcId="{BE2F6492-ECF3-420A-BA7E-E032F7E335F3}" destId="{66C91255-2217-482C-BD3B-B9B3F7EC2328}" srcOrd="7" destOrd="0" presId="urn:microsoft.com/office/officeart/2005/8/layout/cycle5"/>
    <dgm:cxn modelId="{9B686E1C-9AB6-48E2-AAF9-B24328B8CA8E}" type="presParOf" srcId="{BE2F6492-ECF3-420A-BA7E-E032F7E335F3}" destId="{139B93D7-2801-4907-8FE0-45B0ABA196A5}" srcOrd="8" destOrd="0" presId="urn:microsoft.com/office/officeart/2005/8/layout/cycle5"/>
    <dgm:cxn modelId="{D50F7EA2-8D79-4FFB-92CF-5D1E06B0FFFC}" type="presParOf" srcId="{BE2F6492-ECF3-420A-BA7E-E032F7E335F3}" destId="{7D20DD11-71F1-499E-96BB-DE5D14CFC10A}" srcOrd="9" destOrd="0" presId="urn:microsoft.com/office/officeart/2005/8/layout/cycle5"/>
    <dgm:cxn modelId="{47413D6E-0726-421F-BB5B-41DCA96AF89A}" type="presParOf" srcId="{BE2F6492-ECF3-420A-BA7E-E032F7E335F3}" destId="{E3D75C42-4284-4C09-BED3-92EC953DDC32}" srcOrd="10" destOrd="0" presId="urn:microsoft.com/office/officeart/2005/8/layout/cycle5"/>
    <dgm:cxn modelId="{08BA4D83-5A43-4D12-879D-DDFC8C1A3580}" type="presParOf" srcId="{BE2F6492-ECF3-420A-BA7E-E032F7E335F3}" destId="{2B71B88F-E712-4EA1-A129-8CFE33A7B65C}" srcOrd="11" destOrd="0" presId="urn:microsoft.com/office/officeart/2005/8/layout/cycle5"/>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93E2EE0-7BC8-41A1-9B1A-7BD62E4C6B8A}" type="doc">
      <dgm:prSet loTypeId="urn:microsoft.com/office/officeart/2005/8/layout/cycle5" loCatId="cycle" qsTypeId="urn:microsoft.com/office/officeart/2005/8/quickstyle/simple5" qsCatId="simple" csTypeId="urn:microsoft.com/office/officeart/2005/8/colors/accent1_2" csCatId="accent1" phldr="1"/>
      <dgm:spPr/>
      <dgm:t>
        <a:bodyPr/>
        <a:lstStyle/>
        <a:p>
          <a:endParaRPr lang="en-GB"/>
        </a:p>
      </dgm:t>
    </dgm:pt>
    <dgm:pt modelId="{1310FD8A-6435-4A40-9320-FBBBBC2BA910}">
      <dgm:prSet phldrT="[Text]" custT="1"/>
      <dgm:spPr>
        <a:xfrm>
          <a:off x="2171923" y="1764"/>
          <a:ext cx="1142553" cy="742659"/>
        </a:xfr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sz="1200">
              <a:solidFill>
                <a:sysClr val="window" lastClr="FFFFFF"/>
              </a:solidFill>
              <a:latin typeface="Calibri"/>
              <a:ea typeface="+mn-ea"/>
              <a:cs typeface="+mn-cs"/>
            </a:rPr>
            <a:t>1. Identification </a:t>
          </a:r>
          <a:r>
            <a:rPr lang="en-GB" sz="900">
              <a:solidFill>
                <a:sysClr val="window" lastClr="FFFFFF"/>
              </a:solidFill>
              <a:latin typeface="Calibri"/>
              <a:ea typeface="+mn-ea"/>
              <a:cs typeface="+mn-cs"/>
            </a:rPr>
            <a:t>what are the risks?</a:t>
          </a:r>
        </a:p>
      </dgm:t>
    </dgm:pt>
    <dgm:pt modelId="{6239A844-4F0A-4604-B081-D8E725DB0FF1}" type="parTrans" cxnId="{5EF54B41-4092-43D7-8838-B6A6BFA1DF07}">
      <dgm:prSet/>
      <dgm:spPr/>
      <dgm:t>
        <a:bodyPr/>
        <a:lstStyle/>
        <a:p>
          <a:endParaRPr lang="en-GB"/>
        </a:p>
      </dgm:t>
    </dgm:pt>
    <dgm:pt modelId="{CC0A3179-B9F2-4326-8954-8BAC2242B997}" type="sibTrans" cxnId="{5EF54B41-4092-43D7-8838-B6A6BFA1DF07}">
      <dgm:prSet>
        <dgm:style>
          <a:lnRef idx="3">
            <a:schemeClr val="accent5"/>
          </a:lnRef>
          <a:fillRef idx="0">
            <a:schemeClr val="accent5"/>
          </a:fillRef>
          <a:effectRef idx="2">
            <a:schemeClr val="accent5"/>
          </a:effectRef>
          <a:fontRef idx="minor">
            <a:schemeClr val="tx1"/>
          </a:fontRef>
        </dgm:style>
      </dgm:prSet>
      <dgm:spPr>
        <a:xfrm>
          <a:off x="1516093" y="373093"/>
          <a:ext cx="2454212" cy="2454212"/>
        </a:xfrm>
        <a:ln>
          <a:tailEnd type="triangle"/>
        </a:ln>
      </dgm:spPr>
      <dgm:t>
        <a:bodyPr/>
        <a:lstStyle/>
        <a:p>
          <a:endParaRPr lang="en-GB"/>
        </a:p>
      </dgm:t>
    </dgm:pt>
    <dgm:pt modelId="{B4B36D1C-4BEB-45DD-9F17-C221ECFFB14E}">
      <dgm:prSet phldrT="[Text]" custT="1"/>
      <dgm:spPr>
        <a:xfrm>
          <a:off x="3399029" y="1228870"/>
          <a:ext cx="1142553" cy="742659"/>
        </a:xfr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sz="1200">
              <a:solidFill>
                <a:sysClr val="window" lastClr="FFFFFF"/>
              </a:solidFill>
              <a:latin typeface="Calibri"/>
              <a:ea typeface="+mn-ea"/>
              <a:cs typeface="+mn-cs"/>
            </a:rPr>
            <a:t>2. Assessment </a:t>
          </a:r>
        </a:p>
        <a:p>
          <a:r>
            <a:rPr lang="en-GB" sz="900">
              <a:solidFill>
                <a:sysClr val="window" lastClr="FFFFFF"/>
              </a:solidFill>
              <a:latin typeface="Calibri"/>
              <a:ea typeface="+mn-ea"/>
              <a:cs typeface="+mn-cs"/>
            </a:rPr>
            <a:t>what is the likelihood and impact of the risks occurring?</a:t>
          </a:r>
        </a:p>
      </dgm:t>
    </dgm:pt>
    <dgm:pt modelId="{D8A87AE1-EAAA-484F-8513-6CD5D2CC13D4}" type="parTrans" cxnId="{55CAF9EA-1235-49FF-9E6F-219DB1B22619}">
      <dgm:prSet/>
      <dgm:spPr/>
      <dgm:t>
        <a:bodyPr/>
        <a:lstStyle/>
        <a:p>
          <a:endParaRPr lang="en-GB"/>
        </a:p>
      </dgm:t>
    </dgm:pt>
    <dgm:pt modelId="{065C2D7B-FA90-4BA7-9A91-D5F6F0BD04EC}" type="sibTrans" cxnId="{55CAF9EA-1235-49FF-9E6F-219DB1B22619}">
      <dgm:prSet>
        <dgm:style>
          <a:lnRef idx="3">
            <a:schemeClr val="accent5"/>
          </a:lnRef>
          <a:fillRef idx="0">
            <a:schemeClr val="accent5"/>
          </a:fillRef>
          <a:effectRef idx="2">
            <a:schemeClr val="accent5"/>
          </a:effectRef>
          <a:fontRef idx="minor">
            <a:schemeClr val="tx1"/>
          </a:fontRef>
        </dgm:style>
      </dgm:prSet>
      <dgm:spPr>
        <a:xfrm>
          <a:off x="1516093" y="373093"/>
          <a:ext cx="2454212" cy="2454212"/>
        </a:xfrm>
        <a:ln>
          <a:tailEnd type="triangle"/>
        </a:ln>
      </dgm:spPr>
      <dgm:t>
        <a:bodyPr/>
        <a:lstStyle/>
        <a:p>
          <a:endParaRPr lang="en-GB"/>
        </a:p>
      </dgm:t>
    </dgm:pt>
    <dgm:pt modelId="{73883ADA-C312-497C-8B34-1758BB6023EE}">
      <dgm:prSet phldrT="[Text]" custT="1"/>
      <dgm:spPr>
        <a:xfrm>
          <a:off x="2171923" y="2455976"/>
          <a:ext cx="1142553" cy="742659"/>
        </a:xfr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sz="1200">
              <a:solidFill>
                <a:sysClr val="window" lastClr="FFFFFF"/>
              </a:solidFill>
              <a:latin typeface="Calibri"/>
              <a:ea typeface="+mn-ea"/>
              <a:cs typeface="+mn-cs"/>
            </a:rPr>
            <a:t>3. Control</a:t>
          </a:r>
        </a:p>
        <a:p>
          <a:r>
            <a:rPr lang="en-GB" sz="900">
              <a:solidFill>
                <a:sysClr val="window" lastClr="FFFFFF"/>
              </a:solidFill>
              <a:latin typeface="Calibri"/>
              <a:ea typeface="+mn-ea"/>
              <a:cs typeface="+mn-cs"/>
            </a:rPr>
            <a:t>what can we do to reduce the likelihood and impact of the risks occuring?</a:t>
          </a:r>
        </a:p>
      </dgm:t>
    </dgm:pt>
    <dgm:pt modelId="{53490E95-CE00-44F3-AE99-102919A3E2B3}" type="parTrans" cxnId="{0D9DB0FE-F807-4BE7-8A64-CDE4F5282920}">
      <dgm:prSet/>
      <dgm:spPr/>
      <dgm:t>
        <a:bodyPr/>
        <a:lstStyle/>
        <a:p>
          <a:endParaRPr lang="en-GB"/>
        </a:p>
      </dgm:t>
    </dgm:pt>
    <dgm:pt modelId="{70270AE5-4746-4767-8BD9-B97514E368AF}" type="sibTrans" cxnId="{0D9DB0FE-F807-4BE7-8A64-CDE4F5282920}">
      <dgm:prSet>
        <dgm:style>
          <a:lnRef idx="3">
            <a:schemeClr val="accent5"/>
          </a:lnRef>
          <a:fillRef idx="0">
            <a:schemeClr val="accent5"/>
          </a:fillRef>
          <a:effectRef idx="2">
            <a:schemeClr val="accent5"/>
          </a:effectRef>
          <a:fontRef idx="minor">
            <a:schemeClr val="tx1"/>
          </a:fontRef>
        </dgm:style>
      </dgm:prSet>
      <dgm:spPr>
        <a:xfrm>
          <a:off x="1516093" y="373093"/>
          <a:ext cx="2454212" cy="2454212"/>
        </a:xfrm>
        <a:ln>
          <a:tailEnd type="triangle"/>
        </a:ln>
      </dgm:spPr>
      <dgm:t>
        <a:bodyPr/>
        <a:lstStyle/>
        <a:p>
          <a:endParaRPr lang="en-GB"/>
        </a:p>
      </dgm:t>
    </dgm:pt>
    <dgm:pt modelId="{E23F3E88-576D-42DA-B896-8EE05C13447D}">
      <dgm:prSet phldrT="[Text]" custT="1"/>
      <dgm:spPr>
        <a:xfrm>
          <a:off x="944817" y="1228870"/>
          <a:ext cx="1142553" cy="742659"/>
        </a:xfr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sz="1200">
              <a:solidFill>
                <a:sysClr val="window" lastClr="FFFFFF"/>
              </a:solidFill>
              <a:latin typeface="Calibri"/>
              <a:ea typeface="+mn-ea"/>
              <a:cs typeface="+mn-cs"/>
            </a:rPr>
            <a:t>4. Monitoring</a:t>
          </a:r>
        </a:p>
        <a:p>
          <a:r>
            <a:rPr lang="en-GB" sz="900">
              <a:solidFill>
                <a:sysClr val="window" lastClr="FFFFFF"/>
              </a:solidFill>
              <a:latin typeface="Calibri"/>
              <a:ea typeface="+mn-ea"/>
              <a:cs typeface="+mn-cs"/>
            </a:rPr>
            <a:t>has the situation changed and are the mitigation measures working?</a:t>
          </a:r>
        </a:p>
      </dgm:t>
    </dgm:pt>
    <dgm:pt modelId="{2934CD4B-078E-4623-BDE7-1484DBD10389}" type="parTrans" cxnId="{6C9E58F0-C9CA-467F-9E69-B2D279854A48}">
      <dgm:prSet/>
      <dgm:spPr/>
      <dgm:t>
        <a:bodyPr/>
        <a:lstStyle/>
        <a:p>
          <a:endParaRPr lang="en-GB"/>
        </a:p>
      </dgm:t>
    </dgm:pt>
    <dgm:pt modelId="{F8C6129D-C397-4BCF-9B89-59144F3D16FF}" type="sibTrans" cxnId="{6C9E58F0-C9CA-467F-9E69-B2D279854A48}">
      <dgm:prSet>
        <dgm:style>
          <a:lnRef idx="3">
            <a:schemeClr val="accent5"/>
          </a:lnRef>
          <a:fillRef idx="0">
            <a:schemeClr val="accent5"/>
          </a:fillRef>
          <a:effectRef idx="2">
            <a:schemeClr val="accent5"/>
          </a:effectRef>
          <a:fontRef idx="minor">
            <a:schemeClr val="tx1"/>
          </a:fontRef>
        </dgm:style>
      </dgm:prSet>
      <dgm:spPr>
        <a:xfrm>
          <a:off x="1516093" y="373093"/>
          <a:ext cx="2454212" cy="2454212"/>
        </a:xfrm>
        <a:ln>
          <a:tailEnd type="triangle"/>
        </a:ln>
      </dgm:spPr>
      <dgm:t>
        <a:bodyPr/>
        <a:lstStyle/>
        <a:p>
          <a:endParaRPr lang="en-GB"/>
        </a:p>
      </dgm:t>
    </dgm:pt>
    <dgm:pt modelId="{BE2F6492-ECF3-420A-BA7E-E032F7E335F3}" type="pres">
      <dgm:prSet presAssocID="{793E2EE0-7BC8-41A1-9B1A-7BD62E4C6B8A}" presName="cycle" presStyleCnt="0">
        <dgm:presLayoutVars>
          <dgm:dir/>
          <dgm:resizeHandles val="exact"/>
        </dgm:presLayoutVars>
      </dgm:prSet>
      <dgm:spPr/>
      <dgm:t>
        <a:bodyPr/>
        <a:lstStyle/>
        <a:p>
          <a:endParaRPr lang="en-GB"/>
        </a:p>
      </dgm:t>
    </dgm:pt>
    <dgm:pt modelId="{5943056A-C34E-4343-A6CD-6B50407C765B}" type="pres">
      <dgm:prSet presAssocID="{1310FD8A-6435-4A40-9320-FBBBBC2BA910}" presName="node" presStyleLbl="node1" presStyleIdx="0" presStyleCnt="4" custScaleX="122752">
        <dgm:presLayoutVars>
          <dgm:bulletEnabled val="1"/>
        </dgm:presLayoutVars>
      </dgm:prSet>
      <dgm:spPr>
        <a:prstGeom prst="roundRect">
          <a:avLst/>
        </a:prstGeom>
      </dgm:spPr>
      <dgm:t>
        <a:bodyPr/>
        <a:lstStyle/>
        <a:p>
          <a:endParaRPr lang="en-GB"/>
        </a:p>
      </dgm:t>
    </dgm:pt>
    <dgm:pt modelId="{33BE2668-980B-4172-B15B-5FB52EF1A8D2}" type="pres">
      <dgm:prSet presAssocID="{1310FD8A-6435-4A40-9320-FBBBBC2BA910}" presName="spNode" presStyleCnt="0"/>
      <dgm:spPr/>
      <dgm:t>
        <a:bodyPr/>
        <a:lstStyle/>
        <a:p>
          <a:endParaRPr lang="en-GB"/>
        </a:p>
      </dgm:t>
    </dgm:pt>
    <dgm:pt modelId="{061761AF-E5E3-4B67-B408-01435AB5096E}" type="pres">
      <dgm:prSet presAssocID="{CC0A3179-B9F2-4326-8954-8BAC2242B997}" presName="sibTrans" presStyleLbl="sibTrans1D1" presStyleIdx="0" presStyleCnt="4"/>
      <dgm:spPr>
        <a:custGeom>
          <a:avLst/>
          <a:gdLst/>
          <a:ahLst/>
          <a:cxnLst/>
          <a:rect l="0" t="0" r="0" b="0"/>
          <a:pathLst>
            <a:path>
              <a:moveTo>
                <a:pt x="1956148" y="240046"/>
              </a:moveTo>
              <a:arcTo wR="1227106" hR="1227106" stAng="18386976" swAng="1633936"/>
            </a:path>
          </a:pathLst>
        </a:custGeom>
      </dgm:spPr>
      <dgm:t>
        <a:bodyPr/>
        <a:lstStyle/>
        <a:p>
          <a:endParaRPr lang="en-GB"/>
        </a:p>
      </dgm:t>
    </dgm:pt>
    <dgm:pt modelId="{DF17EB3F-66E5-4DD8-AE8B-3077D86EEF49}" type="pres">
      <dgm:prSet presAssocID="{B4B36D1C-4BEB-45DD-9F17-C221ECFFB14E}" presName="node" presStyleLbl="node1" presStyleIdx="1" presStyleCnt="4" custScaleX="112870">
        <dgm:presLayoutVars>
          <dgm:bulletEnabled val="1"/>
        </dgm:presLayoutVars>
      </dgm:prSet>
      <dgm:spPr>
        <a:prstGeom prst="roundRect">
          <a:avLst/>
        </a:prstGeom>
      </dgm:spPr>
      <dgm:t>
        <a:bodyPr/>
        <a:lstStyle/>
        <a:p>
          <a:endParaRPr lang="en-GB"/>
        </a:p>
      </dgm:t>
    </dgm:pt>
    <dgm:pt modelId="{D8F594EA-F213-44C6-92D1-EE22382F696E}" type="pres">
      <dgm:prSet presAssocID="{B4B36D1C-4BEB-45DD-9F17-C221ECFFB14E}" presName="spNode" presStyleCnt="0"/>
      <dgm:spPr/>
      <dgm:t>
        <a:bodyPr/>
        <a:lstStyle/>
        <a:p>
          <a:endParaRPr lang="en-GB"/>
        </a:p>
      </dgm:t>
    </dgm:pt>
    <dgm:pt modelId="{55CF8FAB-CE67-4315-BE9B-C70759D6F704}" type="pres">
      <dgm:prSet presAssocID="{065C2D7B-FA90-4BA7-9A91-D5F6F0BD04EC}" presName="sibTrans" presStyleLbl="sibTrans1D1" presStyleIdx="1" presStyleCnt="4"/>
      <dgm:spPr>
        <a:custGeom>
          <a:avLst/>
          <a:gdLst/>
          <a:ahLst/>
          <a:cxnLst/>
          <a:rect l="0" t="0" r="0" b="0"/>
          <a:pathLst>
            <a:path>
              <a:moveTo>
                <a:pt x="2327017" y="1771149"/>
              </a:moveTo>
              <a:arcTo wR="1227106" hR="1227106" stAng="1579087" swAng="1633936"/>
            </a:path>
          </a:pathLst>
        </a:custGeom>
      </dgm:spPr>
      <dgm:t>
        <a:bodyPr/>
        <a:lstStyle/>
        <a:p>
          <a:endParaRPr lang="en-GB"/>
        </a:p>
      </dgm:t>
    </dgm:pt>
    <dgm:pt modelId="{C2BECAAA-3D25-4619-8493-0AD153813430}" type="pres">
      <dgm:prSet presAssocID="{73883ADA-C312-497C-8B34-1758BB6023EE}" presName="node" presStyleLbl="node1" presStyleIdx="2" presStyleCnt="4" custScaleX="121959">
        <dgm:presLayoutVars>
          <dgm:bulletEnabled val="1"/>
        </dgm:presLayoutVars>
      </dgm:prSet>
      <dgm:spPr>
        <a:prstGeom prst="roundRect">
          <a:avLst/>
        </a:prstGeom>
      </dgm:spPr>
      <dgm:t>
        <a:bodyPr/>
        <a:lstStyle/>
        <a:p>
          <a:endParaRPr lang="en-GB"/>
        </a:p>
      </dgm:t>
    </dgm:pt>
    <dgm:pt modelId="{66C91255-2217-482C-BD3B-B9B3F7EC2328}" type="pres">
      <dgm:prSet presAssocID="{73883ADA-C312-497C-8B34-1758BB6023EE}" presName="spNode" presStyleCnt="0"/>
      <dgm:spPr/>
      <dgm:t>
        <a:bodyPr/>
        <a:lstStyle/>
        <a:p>
          <a:endParaRPr lang="en-GB"/>
        </a:p>
      </dgm:t>
    </dgm:pt>
    <dgm:pt modelId="{139B93D7-2801-4907-8FE0-45B0ABA196A5}" type="pres">
      <dgm:prSet presAssocID="{70270AE5-4746-4767-8BD9-B97514E368AF}" presName="sibTrans" presStyleLbl="sibTrans1D1" presStyleIdx="2" presStyleCnt="4"/>
      <dgm:spPr>
        <a:custGeom>
          <a:avLst/>
          <a:gdLst/>
          <a:ahLst/>
          <a:cxnLst/>
          <a:rect l="0" t="0" r="0" b="0"/>
          <a:pathLst>
            <a:path>
              <a:moveTo>
                <a:pt x="498063" y="2214165"/>
              </a:moveTo>
              <a:arcTo wR="1227106" hR="1227106" stAng="7586976" swAng="1633936"/>
            </a:path>
          </a:pathLst>
        </a:custGeom>
      </dgm:spPr>
      <dgm:t>
        <a:bodyPr/>
        <a:lstStyle/>
        <a:p>
          <a:endParaRPr lang="en-GB"/>
        </a:p>
      </dgm:t>
    </dgm:pt>
    <dgm:pt modelId="{7D20DD11-71F1-499E-96BB-DE5D14CFC10A}" type="pres">
      <dgm:prSet presAssocID="{E23F3E88-576D-42DA-B896-8EE05C13447D}" presName="node" presStyleLbl="node1" presStyleIdx="3" presStyleCnt="4" custScaleX="122691">
        <dgm:presLayoutVars>
          <dgm:bulletEnabled val="1"/>
        </dgm:presLayoutVars>
      </dgm:prSet>
      <dgm:spPr>
        <a:prstGeom prst="roundRect">
          <a:avLst/>
        </a:prstGeom>
      </dgm:spPr>
      <dgm:t>
        <a:bodyPr/>
        <a:lstStyle/>
        <a:p>
          <a:endParaRPr lang="en-GB"/>
        </a:p>
      </dgm:t>
    </dgm:pt>
    <dgm:pt modelId="{E3D75C42-4284-4C09-BED3-92EC953DDC32}" type="pres">
      <dgm:prSet presAssocID="{E23F3E88-576D-42DA-B896-8EE05C13447D}" presName="spNode" presStyleCnt="0"/>
      <dgm:spPr/>
      <dgm:t>
        <a:bodyPr/>
        <a:lstStyle/>
        <a:p>
          <a:endParaRPr lang="en-GB"/>
        </a:p>
      </dgm:t>
    </dgm:pt>
    <dgm:pt modelId="{2B71B88F-E712-4EA1-A129-8CFE33A7B65C}" type="pres">
      <dgm:prSet presAssocID="{F8C6129D-C397-4BCF-9B89-59144F3D16FF}" presName="sibTrans" presStyleLbl="sibTrans1D1" presStyleIdx="3" presStyleCnt="4"/>
      <dgm:spPr>
        <a:custGeom>
          <a:avLst/>
          <a:gdLst/>
          <a:ahLst/>
          <a:cxnLst/>
          <a:rect l="0" t="0" r="0" b="0"/>
          <a:pathLst>
            <a:path>
              <a:moveTo>
                <a:pt x="127194" y="683062"/>
              </a:moveTo>
              <a:arcTo wR="1227106" hR="1227106" stAng="12379087" swAng="1633936"/>
            </a:path>
          </a:pathLst>
        </a:custGeom>
      </dgm:spPr>
      <dgm:t>
        <a:bodyPr/>
        <a:lstStyle/>
        <a:p>
          <a:endParaRPr lang="en-GB"/>
        </a:p>
      </dgm:t>
    </dgm:pt>
  </dgm:ptLst>
  <dgm:cxnLst>
    <dgm:cxn modelId="{0AFF2FF0-70D1-470A-9023-984742A9B13B}" type="presOf" srcId="{793E2EE0-7BC8-41A1-9B1A-7BD62E4C6B8A}" destId="{BE2F6492-ECF3-420A-BA7E-E032F7E335F3}" srcOrd="0" destOrd="0" presId="urn:microsoft.com/office/officeart/2005/8/layout/cycle5"/>
    <dgm:cxn modelId="{5D0EFCC7-7B65-410C-B2B9-3B62B38782E9}" type="presOf" srcId="{F8C6129D-C397-4BCF-9B89-59144F3D16FF}" destId="{2B71B88F-E712-4EA1-A129-8CFE33A7B65C}" srcOrd="0" destOrd="0" presId="urn:microsoft.com/office/officeart/2005/8/layout/cycle5"/>
    <dgm:cxn modelId="{D35DFD8D-BC6A-48A0-AD16-E849DDB0620D}" type="presOf" srcId="{CC0A3179-B9F2-4326-8954-8BAC2242B997}" destId="{061761AF-E5E3-4B67-B408-01435AB5096E}" srcOrd="0" destOrd="0" presId="urn:microsoft.com/office/officeart/2005/8/layout/cycle5"/>
    <dgm:cxn modelId="{F69F4018-C77A-4E22-92DB-CA6164FFEBD6}" type="presOf" srcId="{B4B36D1C-4BEB-45DD-9F17-C221ECFFB14E}" destId="{DF17EB3F-66E5-4DD8-AE8B-3077D86EEF49}" srcOrd="0" destOrd="0" presId="urn:microsoft.com/office/officeart/2005/8/layout/cycle5"/>
    <dgm:cxn modelId="{B80DC5C7-0865-4893-A85E-1452653D2CBF}" type="presOf" srcId="{1310FD8A-6435-4A40-9320-FBBBBC2BA910}" destId="{5943056A-C34E-4343-A6CD-6B50407C765B}" srcOrd="0" destOrd="0" presId="urn:microsoft.com/office/officeart/2005/8/layout/cycle5"/>
    <dgm:cxn modelId="{10B0C250-DB2A-427E-831B-888C5EA3C512}" type="presOf" srcId="{73883ADA-C312-497C-8B34-1758BB6023EE}" destId="{C2BECAAA-3D25-4619-8493-0AD153813430}" srcOrd="0" destOrd="0" presId="urn:microsoft.com/office/officeart/2005/8/layout/cycle5"/>
    <dgm:cxn modelId="{55CAF9EA-1235-49FF-9E6F-219DB1B22619}" srcId="{793E2EE0-7BC8-41A1-9B1A-7BD62E4C6B8A}" destId="{B4B36D1C-4BEB-45DD-9F17-C221ECFFB14E}" srcOrd="1" destOrd="0" parTransId="{D8A87AE1-EAAA-484F-8513-6CD5D2CC13D4}" sibTransId="{065C2D7B-FA90-4BA7-9A91-D5F6F0BD04EC}"/>
    <dgm:cxn modelId="{6C9E58F0-C9CA-467F-9E69-B2D279854A48}" srcId="{793E2EE0-7BC8-41A1-9B1A-7BD62E4C6B8A}" destId="{E23F3E88-576D-42DA-B896-8EE05C13447D}" srcOrd="3" destOrd="0" parTransId="{2934CD4B-078E-4623-BDE7-1484DBD10389}" sibTransId="{F8C6129D-C397-4BCF-9B89-59144F3D16FF}"/>
    <dgm:cxn modelId="{0D9DB0FE-F807-4BE7-8A64-CDE4F5282920}" srcId="{793E2EE0-7BC8-41A1-9B1A-7BD62E4C6B8A}" destId="{73883ADA-C312-497C-8B34-1758BB6023EE}" srcOrd="2" destOrd="0" parTransId="{53490E95-CE00-44F3-AE99-102919A3E2B3}" sibTransId="{70270AE5-4746-4767-8BD9-B97514E368AF}"/>
    <dgm:cxn modelId="{9AF85277-BBD7-4F15-8CDE-69B2FEC2CD85}" type="presOf" srcId="{70270AE5-4746-4767-8BD9-B97514E368AF}" destId="{139B93D7-2801-4907-8FE0-45B0ABA196A5}" srcOrd="0" destOrd="0" presId="urn:microsoft.com/office/officeart/2005/8/layout/cycle5"/>
    <dgm:cxn modelId="{7EC595EE-C9DA-4EF6-80B1-59C447D2B616}" type="presOf" srcId="{065C2D7B-FA90-4BA7-9A91-D5F6F0BD04EC}" destId="{55CF8FAB-CE67-4315-BE9B-C70759D6F704}" srcOrd="0" destOrd="0" presId="urn:microsoft.com/office/officeart/2005/8/layout/cycle5"/>
    <dgm:cxn modelId="{5EF54B41-4092-43D7-8838-B6A6BFA1DF07}" srcId="{793E2EE0-7BC8-41A1-9B1A-7BD62E4C6B8A}" destId="{1310FD8A-6435-4A40-9320-FBBBBC2BA910}" srcOrd="0" destOrd="0" parTransId="{6239A844-4F0A-4604-B081-D8E725DB0FF1}" sibTransId="{CC0A3179-B9F2-4326-8954-8BAC2242B997}"/>
    <dgm:cxn modelId="{7022D745-A005-4CCF-B92E-39FBF5ABEAE0}" type="presOf" srcId="{E23F3E88-576D-42DA-B896-8EE05C13447D}" destId="{7D20DD11-71F1-499E-96BB-DE5D14CFC10A}" srcOrd="0" destOrd="0" presId="urn:microsoft.com/office/officeart/2005/8/layout/cycle5"/>
    <dgm:cxn modelId="{3B65EF9D-0683-4920-9D9D-F2002506C5B8}" type="presParOf" srcId="{BE2F6492-ECF3-420A-BA7E-E032F7E335F3}" destId="{5943056A-C34E-4343-A6CD-6B50407C765B}" srcOrd="0" destOrd="0" presId="urn:microsoft.com/office/officeart/2005/8/layout/cycle5"/>
    <dgm:cxn modelId="{CB111DCE-DA0E-4460-A463-175322F5E63F}" type="presParOf" srcId="{BE2F6492-ECF3-420A-BA7E-E032F7E335F3}" destId="{33BE2668-980B-4172-B15B-5FB52EF1A8D2}" srcOrd="1" destOrd="0" presId="urn:microsoft.com/office/officeart/2005/8/layout/cycle5"/>
    <dgm:cxn modelId="{E61D3F96-3978-4ADB-BAC5-AF60AF644E50}" type="presParOf" srcId="{BE2F6492-ECF3-420A-BA7E-E032F7E335F3}" destId="{061761AF-E5E3-4B67-B408-01435AB5096E}" srcOrd="2" destOrd="0" presId="urn:microsoft.com/office/officeart/2005/8/layout/cycle5"/>
    <dgm:cxn modelId="{48F327B1-721D-4BE8-A61B-B2B405ABC798}" type="presParOf" srcId="{BE2F6492-ECF3-420A-BA7E-E032F7E335F3}" destId="{DF17EB3F-66E5-4DD8-AE8B-3077D86EEF49}" srcOrd="3" destOrd="0" presId="urn:microsoft.com/office/officeart/2005/8/layout/cycle5"/>
    <dgm:cxn modelId="{E6F79769-4D02-4167-A631-66C8F406D499}" type="presParOf" srcId="{BE2F6492-ECF3-420A-BA7E-E032F7E335F3}" destId="{D8F594EA-F213-44C6-92D1-EE22382F696E}" srcOrd="4" destOrd="0" presId="urn:microsoft.com/office/officeart/2005/8/layout/cycle5"/>
    <dgm:cxn modelId="{E443E202-A54A-424E-9A77-DF3E53C15FFB}" type="presParOf" srcId="{BE2F6492-ECF3-420A-BA7E-E032F7E335F3}" destId="{55CF8FAB-CE67-4315-BE9B-C70759D6F704}" srcOrd="5" destOrd="0" presId="urn:microsoft.com/office/officeart/2005/8/layout/cycle5"/>
    <dgm:cxn modelId="{62EAE755-909A-4BBD-9BEA-9D55E62B5AE9}" type="presParOf" srcId="{BE2F6492-ECF3-420A-BA7E-E032F7E335F3}" destId="{C2BECAAA-3D25-4619-8493-0AD153813430}" srcOrd="6" destOrd="0" presId="urn:microsoft.com/office/officeart/2005/8/layout/cycle5"/>
    <dgm:cxn modelId="{85C1AF90-7E66-4084-A8DA-8A8664E97EF8}" type="presParOf" srcId="{BE2F6492-ECF3-420A-BA7E-E032F7E335F3}" destId="{66C91255-2217-482C-BD3B-B9B3F7EC2328}" srcOrd="7" destOrd="0" presId="urn:microsoft.com/office/officeart/2005/8/layout/cycle5"/>
    <dgm:cxn modelId="{645185B4-63B9-4509-BAB3-B60303E0F7F3}" type="presParOf" srcId="{BE2F6492-ECF3-420A-BA7E-E032F7E335F3}" destId="{139B93D7-2801-4907-8FE0-45B0ABA196A5}" srcOrd="8" destOrd="0" presId="urn:microsoft.com/office/officeart/2005/8/layout/cycle5"/>
    <dgm:cxn modelId="{2EB43A03-4DFF-4F0F-85F2-E674F8AB85E0}" type="presParOf" srcId="{BE2F6492-ECF3-420A-BA7E-E032F7E335F3}" destId="{7D20DD11-71F1-499E-96BB-DE5D14CFC10A}" srcOrd="9" destOrd="0" presId="urn:microsoft.com/office/officeart/2005/8/layout/cycle5"/>
    <dgm:cxn modelId="{47053315-B0BD-4470-A638-ED84A466103F}" type="presParOf" srcId="{BE2F6492-ECF3-420A-BA7E-E032F7E335F3}" destId="{E3D75C42-4284-4C09-BED3-92EC953DDC32}" srcOrd="10" destOrd="0" presId="urn:microsoft.com/office/officeart/2005/8/layout/cycle5"/>
    <dgm:cxn modelId="{7D5D8A30-3886-4601-ACA6-14BA5C6834CD}" type="presParOf" srcId="{BE2F6492-ECF3-420A-BA7E-E032F7E335F3}" destId="{2B71B88F-E712-4EA1-A129-8CFE33A7B65C}" srcOrd="11" destOrd="0" presId="urn:microsoft.com/office/officeart/2005/8/layout/cycle5"/>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943056A-C34E-4343-A6CD-6B50407C765B}">
      <dsp:nvSpPr>
        <dsp:cNvPr id="0" name=""/>
        <dsp:cNvSpPr/>
      </dsp:nvSpPr>
      <dsp:spPr>
        <a:xfrm>
          <a:off x="2069998" y="1764"/>
          <a:ext cx="1402507" cy="742659"/>
        </a:xfrm>
        <a:prstGeom prst="roundRect">
          <a:avLst/>
        </a:prstGeo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1. Identification </a:t>
          </a:r>
          <a:r>
            <a:rPr lang="en-GB" sz="900" kern="1200">
              <a:solidFill>
                <a:sysClr val="window" lastClr="FFFFFF"/>
              </a:solidFill>
              <a:latin typeface="Calibri"/>
              <a:ea typeface="+mn-ea"/>
              <a:cs typeface="+mn-cs"/>
            </a:rPr>
            <a:t>what are the risks?</a:t>
          </a:r>
        </a:p>
      </dsp:txBody>
      <dsp:txXfrm>
        <a:off x="2069998" y="1764"/>
        <a:ext cx="1402507" cy="742659"/>
      </dsp:txXfrm>
    </dsp:sp>
    <dsp:sp modelId="{061761AF-E5E3-4B67-B408-01435AB5096E}">
      <dsp:nvSpPr>
        <dsp:cNvPr id="0" name=""/>
        <dsp:cNvSpPr/>
      </dsp:nvSpPr>
      <dsp:spPr>
        <a:xfrm>
          <a:off x="1544146" y="373093"/>
          <a:ext cx="2454212" cy="2454212"/>
        </a:xfrm>
        <a:custGeom>
          <a:avLst/>
          <a:gdLst/>
          <a:ahLst/>
          <a:cxnLst/>
          <a:rect l="0" t="0" r="0" b="0"/>
          <a:pathLst>
            <a:path>
              <a:moveTo>
                <a:pt x="1956148" y="240046"/>
              </a:moveTo>
              <a:arcTo wR="1227106" hR="1227106" stAng="18386976" swAng="1633936"/>
            </a:path>
          </a:pathLst>
        </a:custGeom>
        <a:noFill/>
        <a:ln w="38100" cap="flat" cmpd="sng" algn="ctr">
          <a:solidFill>
            <a:schemeClr val="accent5"/>
          </a:solidFill>
          <a:prstDash val="solid"/>
          <a:tailEnd type="triangle"/>
        </a:ln>
        <a:effectLst>
          <a:outerShdw blurRad="40000" dist="23000" dir="5400000" rotWithShape="0">
            <a:srgbClr val="000000">
              <a:alpha val="35000"/>
            </a:srgbClr>
          </a:outerShdw>
        </a:effectLst>
      </dsp:spPr>
      <dsp:style>
        <a:lnRef idx="3">
          <a:schemeClr val="accent5"/>
        </a:lnRef>
        <a:fillRef idx="0">
          <a:schemeClr val="accent5"/>
        </a:fillRef>
        <a:effectRef idx="2">
          <a:schemeClr val="accent5"/>
        </a:effectRef>
        <a:fontRef idx="minor">
          <a:schemeClr val="tx1"/>
        </a:fontRef>
      </dsp:style>
    </dsp:sp>
    <dsp:sp modelId="{DF17EB3F-66E5-4DD8-AE8B-3077D86EEF49}">
      <dsp:nvSpPr>
        <dsp:cNvPr id="0" name=""/>
        <dsp:cNvSpPr/>
      </dsp:nvSpPr>
      <dsp:spPr>
        <a:xfrm>
          <a:off x="3353558" y="1228870"/>
          <a:ext cx="1289600" cy="742659"/>
        </a:xfrm>
        <a:prstGeom prst="roundRect">
          <a:avLst/>
        </a:prstGeo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2. Assessment </a:t>
          </a:r>
        </a:p>
        <a:p>
          <a:pPr lvl="0" algn="ctr" defTabSz="533400">
            <a:lnSpc>
              <a:spcPct val="90000"/>
            </a:lnSpc>
            <a:spcBef>
              <a:spcPct val="0"/>
            </a:spcBef>
            <a:spcAft>
              <a:spcPct val="35000"/>
            </a:spcAft>
          </a:pPr>
          <a:r>
            <a:rPr lang="en-GB" sz="900" kern="1200">
              <a:solidFill>
                <a:sysClr val="window" lastClr="FFFFFF"/>
              </a:solidFill>
              <a:latin typeface="Calibri"/>
              <a:ea typeface="+mn-ea"/>
              <a:cs typeface="+mn-cs"/>
            </a:rPr>
            <a:t>what is the likelihood and impact of the risks occurring?</a:t>
          </a:r>
        </a:p>
      </dsp:txBody>
      <dsp:txXfrm>
        <a:off x="3353558" y="1228870"/>
        <a:ext cx="1289600" cy="742659"/>
      </dsp:txXfrm>
    </dsp:sp>
    <dsp:sp modelId="{55CF8FAB-CE67-4315-BE9B-C70759D6F704}">
      <dsp:nvSpPr>
        <dsp:cNvPr id="0" name=""/>
        <dsp:cNvSpPr/>
      </dsp:nvSpPr>
      <dsp:spPr>
        <a:xfrm>
          <a:off x="1544146" y="373093"/>
          <a:ext cx="2454212" cy="2454212"/>
        </a:xfrm>
        <a:custGeom>
          <a:avLst/>
          <a:gdLst/>
          <a:ahLst/>
          <a:cxnLst/>
          <a:rect l="0" t="0" r="0" b="0"/>
          <a:pathLst>
            <a:path>
              <a:moveTo>
                <a:pt x="2327017" y="1771149"/>
              </a:moveTo>
              <a:arcTo wR="1227106" hR="1227106" stAng="1579087" swAng="1633936"/>
            </a:path>
          </a:pathLst>
        </a:custGeom>
        <a:noFill/>
        <a:ln w="38100" cap="flat" cmpd="sng" algn="ctr">
          <a:solidFill>
            <a:schemeClr val="accent5"/>
          </a:solidFill>
          <a:prstDash val="solid"/>
          <a:tailEnd type="triangle"/>
        </a:ln>
        <a:effectLst>
          <a:outerShdw blurRad="40000" dist="23000" dir="5400000" rotWithShape="0">
            <a:srgbClr val="000000">
              <a:alpha val="35000"/>
            </a:srgbClr>
          </a:outerShdw>
        </a:effectLst>
      </dsp:spPr>
      <dsp:style>
        <a:lnRef idx="3">
          <a:schemeClr val="accent5"/>
        </a:lnRef>
        <a:fillRef idx="0">
          <a:schemeClr val="accent5"/>
        </a:fillRef>
        <a:effectRef idx="2">
          <a:schemeClr val="accent5"/>
        </a:effectRef>
        <a:fontRef idx="minor">
          <a:schemeClr val="tx1"/>
        </a:fontRef>
      </dsp:style>
    </dsp:sp>
    <dsp:sp modelId="{C2BECAAA-3D25-4619-8493-0AD153813430}">
      <dsp:nvSpPr>
        <dsp:cNvPr id="0" name=""/>
        <dsp:cNvSpPr/>
      </dsp:nvSpPr>
      <dsp:spPr>
        <a:xfrm>
          <a:off x="2074529" y="2455976"/>
          <a:ext cx="1393446" cy="742659"/>
        </a:xfrm>
        <a:prstGeom prst="roundRect">
          <a:avLst/>
        </a:prstGeo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3. Control</a:t>
          </a:r>
        </a:p>
        <a:p>
          <a:pPr lvl="0" algn="ctr" defTabSz="533400">
            <a:lnSpc>
              <a:spcPct val="90000"/>
            </a:lnSpc>
            <a:spcBef>
              <a:spcPct val="0"/>
            </a:spcBef>
            <a:spcAft>
              <a:spcPct val="35000"/>
            </a:spcAft>
          </a:pPr>
          <a:r>
            <a:rPr lang="en-GB" sz="900" kern="1200">
              <a:solidFill>
                <a:sysClr val="window" lastClr="FFFFFF"/>
              </a:solidFill>
              <a:latin typeface="Calibri"/>
              <a:ea typeface="+mn-ea"/>
              <a:cs typeface="+mn-cs"/>
            </a:rPr>
            <a:t>what can we do to reduce the likelihood and impact of the risks occuring?</a:t>
          </a:r>
        </a:p>
      </dsp:txBody>
      <dsp:txXfrm>
        <a:off x="2074529" y="2455976"/>
        <a:ext cx="1393446" cy="742659"/>
      </dsp:txXfrm>
    </dsp:sp>
    <dsp:sp modelId="{139B93D7-2801-4907-8FE0-45B0ABA196A5}">
      <dsp:nvSpPr>
        <dsp:cNvPr id="0" name=""/>
        <dsp:cNvSpPr/>
      </dsp:nvSpPr>
      <dsp:spPr>
        <a:xfrm>
          <a:off x="1544146" y="373093"/>
          <a:ext cx="2454212" cy="2454212"/>
        </a:xfrm>
        <a:custGeom>
          <a:avLst/>
          <a:gdLst/>
          <a:ahLst/>
          <a:cxnLst/>
          <a:rect l="0" t="0" r="0" b="0"/>
          <a:pathLst>
            <a:path>
              <a:moveTo>
                <a:pt x="498063" y="2214165"/>
              </a:moveTo>
              <a:arcTo wR="1227106" hR="1227106" stAng="7586976" swAng="1633936"/>
            </a:path>
          </a:pathLst>
        </a:custGeom>
        <a:noFill/>
        <a:ln w="38100" cap="flat" cmpd="sng" algn="ctr">
          <a:solidFill>
            <a:schemeClr val="accent5"/>
          </a:solidFill>
          <a:prstDash val="solid"/>
          <a:tailEnd type="triangle"/>
        </a:ln>
        <a:effectLst>
          <a:outerShdw blurRad="40000" dist="23000" dir="5400000" rotWithShape="0">
            <a:srgbClr val="000000">
              <a:alpha val="35000"/>
            </a:srgbClr>
          </a:outerShdw>
        </a:effectLst>
      </dsp:spPr>
      <dsp:style>
        <a:lnRef idx="3">
          <a:schemeClr val="accent5"/>
        </a:lnRef>
        <a:fillRef idx="0">
          <a:schemeClr val="accent5"/>
        </a:fillRef>
        <a:effectRef idx="2">
          <a:schemeClr val="accent5"/>
        </a:effectRef>
        <a:fontRef idx="minor">
          <a:schemeClr val="tx1"/>
        </a:fontRef>
      </dsp:style>
    </dsp:sp>
    <dsp:sp modelId="{7D20DD11-71F1-499E-96BB-DE5D14CFC10A}">
      <dsp:nvSpPr>
        <dsp:cNvPr id="0" name=""/>
        <dsp:cNvSpPr/>
      </dsp:nvSpPr>
      <dsp:spPr>
        <a:xfrm>
          <a:off x="843241" y="1228870"/>
          <a:ext cx="1401810" cy="742659"/>
        </a:xfrm>
        <a:prstGeom prst="roundRect">
          <a:avLst/>
        </a:prstGeo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4. Monitoring</a:t>
          </a:r>
        </a:p>
        <a:p>
          <a:pPr lvl="0" algn="ctr" defTabSz="533400">
            <a:lnSpc>
              <a:spcPct val="90000"/>
            </a:lnSpc>
            <a:spcBef>
              <a:spcPct val="0"/>
            </a:spcBef>
            <a:spcAft>
              <a:spcPct val="35000"/>
            </a:spcAft>
          </a:pPr>
          <a:r>
            <a:rPr lang="en-GB" sz="900" kern="1200">
              <a:solidFill>
                <a:sysClr val="window" lastClr="FFFFFF"/>
              </a:solidFill>
              <a:latin typeface="Calibri"/>
              <a:ea typeface="+mn-ea"/>
              <a:cs typeface="+mn-cs"/>
            </a:rPr>
            <a:t>has the situation changed and are the mitigation measures working?</a:t>
          </a:r>
        </a:p>
      </dsp:txBody>
      <dsp:txXfrm>
        <a:off x="843241" y="1228870"/>
        <a:ext cx="1401810" cy="742659"/>
      </dsp:txXfrm>
    </dsp:sp>
    <dsp:sp modelId="{2B71B88F-E712-4EA1-A129-8CFE33A7B65C}">
      <dsp:nvSpPr>
        <dsp:cNvPr id="0" name=""/>
        <dsp:cNvSpPr/>
      </dsp:nvSpPr>
      <dsp:spPr>
        <a:xfrm>
          <a:off x="1544146" y="373093"/>
          <a:ext cx="2454212" cy="2454212"/>
        </a:xfrm>
        <a:custGeom>
          <a:avLst/>
          <a:gdLst/>
          <a:ahLst/>
          <a:cxnLst/>
          <a:rect l="0" t="0" r="0" b="0"/>
          <a:pathLst>
            <a:path>
              <a:moveTo>
                <a:pt x="127194" y="683062"/>
              </a:moveTo>
              <a:arcTo wR="1227106" hR="1227106" stAng="12379087" swAng="1633936"/>
            </a:path>
          </a:pathLst>
        </a:custGeom>
        <a:noFill/>
        <a:ln w="38100" cap="flat" cmpd="sng" algn="ctr">
          <a:solidFill>
            <a:schemeClr val="accent5"/>
          </a:solidFill>
          <a:prstDash val="solid"/>
          <a:tailEnd type="triangle"/>
        </a:ln>
        <a:effectLst>
          <a:outerShdw blurRad="40000" dist="23000" dir="5400000" rotWithShape="0">
            <a:srgbClr val="000000">
              <a:alpha val="35000"/>
            </a:srgbClr>
          </a:outerShdw>
        </a:effectLst>
      </dsp:spPr>
      <dsp:style>
        <a:lnRef idx="3">
          <a:schemeClr val="accent5"/>
        </a:lnRef>
        <a:fillRef idx="0">
          <a:schemeClr val="accent5"/>
        </a:fillRef>
        <a:effectRef idx="2">
          <a:schemeClr val="accent5"/>
        </a:effectRef>
        <a:fontRef idx="minor">
          <a:schemeClr val="tx1"/>
        </a:fontRef>
      </dsp:style>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943056A-C34E-4343-A6CD-6B50407C765B}">
      <dsp:nvSpPr>
        <dsp:cNvPr id="0" name=""/>
        <dsp:cNvSpPr/>
      </dsp:nvSpPr>
      <dsp:spPr>
        <a:xfrm>
          <a:off x="2069998" y="1764"/>
          <a:ext cx="1402507" cy="742659"/>
        </a:xfrm>
        <a:prstGeom prst="roundRect">
          <a:avLst/>
        </a:prstGeo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1. Identification </a:t>
          </a:r>
          <a:r>
            <a:rPr lang="en-GB" sz="900" kern="1200">
              <a:solidFill>
                <a:sysClr val="window" lastClr="FFFFFF"/>
              </a:solidFill>
              <a:latin typeface="Calibri"/>
              <a:ea typeface="+mn-ea"/>
              <a:cs typeface="+mn-cs"/>
            </a:rPr>
            <a:t>what are the risks?</a:t>
          </a:r>
        </a:p>
      </dsp:txBody>
      <dsp:txXfrm>
        <a:off x="2069998" y="1764"/>
        <a:ext cx="1402507" cy="742659"/>
      </dsp:txXfrm>
    </dsp:sp>
    <dsp:sp modelId="{061761AF-E5E3-4B67-B408-01435AB5096E}">
      <dsp:nvSpPr>
        <dsp:cNvPr id="0" name=""/>
        <dsp:cNvSpPr/>
      </dsp:nvSpPr>
      <dsp:spPr>
        <a:xfrm>
          <a:off x="1544146" y="373093"/>
          <a:ext cx="2454212" cy="2454212"/>
        </a:xfrm>
        <a:custGeom>
          <a:avLst/>
          <a:gdLst/>
          <a:ahLst/>
          <a:cxnLst/>
          <a:rect l="0" t="0" r="0" b="0"/>
          <a:pathLst>
            <a:path>
              <a:moveTo>
                <a:pt x="1956148" y="240046"/>
              </a:moveTo>
              <a:arcTo wR="1227106" hR="1227106" stAng="18386976" swAng="1633936"/>
            </a:path>
          </a:pathLst>
        </a:custGeom>
        <a:noFill/>
        <a:ln w="38100" cap="flat" cmpd="sng" algn="ctr">
          <a:solidFill>
            <a:schemeClr val="accent5"/>
          </a:solidFill>
          <a:prstDash val="solid"/>
          <a:tailEnd type="triangle"/>
        </a:ln>
        <a:effectLst>
          <a:outerShdw blurRad="40000" dist="23000" dir="5400000" rotWithShape="0">
            <a:srgbClr val="000000">
              <a:alpha val="35000"/>
            </a:srgbClr>
          </a:outerShdw>
        </a:effectLst>
      </dsp:spPr>
      <dsp:style>
        <a:lnRef idx="3">
          <a:schemeClr val="accent5"/>
        </a:lnRef>
        <a:fillRef idx="0">
          <a:schemeClr val="accent5"/>
        </a:fillRef>
        <a:effectRef idx="2">
          <a:schemeClr val="accent5"/>
        </a:effectRef>
        <a:fontRef idx="minor">
          <a:schemeClr val="tx1"/>
        </a:fontRef>
      </dsp:style>
    </dsp:sp>
    <dsp:sp modelId="{DF17EB3F-66E5-4DD8-AE8B-3077D86EEF49}">
      <dsp:nvSpPr>
        <dsp:cNvPr id="0" name=""/>
        <dsp:cNvSpPr/>
      </dsp:nvSpPr>
      <dsp:spPr>
        <a:xfrm>
          <a:off x="3353558" y="1228870"/>
          <a:ext cx="1289600" cy="742659"/>
        </a:xfrm>
        <a:prstGeom prst="roundRect">
          <a:avLst/>
        </a:prstGeo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2. Assessment </a:t>
          </a:r>
        </a:p>
        <a:p>
          <a:pPr lvl="0" algn="ctr" defTabSz="533400">
            <a:lnSpc>
              <a:spcPct val="90000"/>
            </a:lnSpc>
            <a:spcBef>
              <a:spcPct val="0"/>
            </a:spcBef>
            <a:spcAft>
              <a:spcPct val="35000"/>
            </a:spcAft>
          </a:pPr>
          <a:r>
            <a:rPr lang="en-GB" sz="900" kern="1200">
              <a:solidFill>
                <a:sysClr val="window" lastClr="FFFFFF"/>
              </a:solidFill>
              <a:latin typeface="Calibri"/>
              <a:ea typeface="+mn-ea"/>
              <a:cs typeface="+mn-cs"/>
            </a:rPr>
            <a:t>what is the likelihood and impact of the risks occurring?</a:t>
          </a:r>
        </a:p>
      </dsp:txBody>
      <dsp:txXfrm>
        <a:off x="3353558" y="1228870"/>
        <a:ext cx="1289600" cy="742659"/>
      </dsp:txXfrm>
    </dsp:sp>
    <dsp:sp modelId="{55CF8FAB-CE67-4315-BE9B-C70759D6F704}">
      <dsp:nvSpPr>
        <dsp:cNvPr id="0" name=""/>
        <dsp:cNvSpPr/>
      </dsp:nvSpPr>
      <dsp:spPr>
        <a:xfrm>
          <a:off x="1544146" y="373093"/>
          <a:ext cx="2454212" cy="2454212"/>
        </a:xfrm>
        <a:custGeom>
          <a:avLst/>
          <a:gdLst/>
          <a:ahLst/>
          <a:cxnLst/>
          <a:rect l="0" t="0" r="0" b="0"/>
          <a:pathLst>
            <a:path>
              <a:moveTo>
                <a:pt x="2327017" y="1771149"/>
              </a:moveTo>
              <a:arcTo wR="1227106" hR="1227106" stAng="1579087" swAng="1633936"/>
            </a:path>
          </a:pathLst>
        </a:custGeom>
        <a:noFill/>
        <a:ln w="38100" cap="flat" cmpd="sng" algn="ctr">
          <a:solidFill>
            <a:schemeClr val="accent5"/>
          </a:solidFill>
          <a:prstDash val="solid"/>
          <a:tailEnd type="triangle"/>
        </a:ln>
        <a:effectLst>
          <a:outerShdw blurRad="40000" dist="23000" dir="5400000" rotWithShape="0">
            <a:srgbClr val="000000">
              <a:alpha val="35000"/>
            </a:srgbClr>
          </a:outerShdw>
        </a:effectLst>
      </dsp:spPr>
      <dsp:style>
        <a:lnRef idx="3">
          <a:schemeClr val="accent5"/>
        </a:lnRef>
        <a:fillRef idx="0">
          <a:schemeClr val="accent5"/>
        </a:fillRef>
        <a:effectRef idx="2">
          <a:schemeClr val="accent5"/>
        </a:effectRef>
        <a:fontRef idx="minor">
          <a:schemeClr val="tx1"/>
        </a:fontRef>
      </dsp:style>
    </dsp:sp>
    <dsp:sp modelId="{C2BECAAA-3D25-4619-8493-0AD153813430}">
      <dsp:nvSpPr>
        <dsp:cNvPr id="0" name=""/>
        <dsp:cNvSpPr/>
      </dsp:nvSpPr>
      <dsp:spPr>
        <a:xfrm>
          <a:off x="2074529" y="2455976"/>
          <a:ext cx="1393446" cy="742659"/>
        </a:xfrm>
        <a:prstGeom prst="roundRect">
          <a:avLst/>
        </a:prstGeo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3. Control</a:t>
          </a:r>
        </a:p>
        <a:p>
          <a:pPr lvl="0" algn="ctr" defTabSz="533400">
            <a:lnSpc>
              <a:spcPct val="90000"/>
            </a:lnSpc>
            <a:spcBef>
              <a:spcPct val="0"/>
            </a:spcBef>
            <a:spcAft>
              <a:spcPct val="35000"/>
            </a:spcAft>
          </a:pPr>
          <a:r>
            <a:rPr lang="en-GB" sz="900" kern="1200">
              <a:solidFill>
                <a:sysClr val="window" lastClr="FFFFFF"/>
              </a:solidFill>
              <a:latin typeface="Calibri"/>
              <a:ea typeface="+mn-ea"/>
              <a:cs typeface="+mn-cs"/>
            </a:rPr>
            <a:t>what can we do to reduce the likelihood and impact of the risks occuring?</a:t>
          </a:r>
        </a:p>
      </dsp:txBody>
      <dsp:txXfrm>
        <a:off x="2074529" y="2455976"/>
        <a:ext cx="1393446" cy="742659"/>
      </dsp:txXfrm>
    </dsp:sp>
    <dsp:sp modelId="{139B93D7-2801-4907-8FE0-45B0ABA196A5}">
      <dsp:nvSpPr>
        <dsp:cNvPr id="0" name=""/>
        <dsp:cNvSpPr/>
      </dsp:nvSpPr>
      <dsp:spPr>
        <a:xfrm>
          <a:off x="1544146" y="373093"/>
          <a:ext cx="2454212" cy="2454212"/>
        </a:xfrm>
        <a:custGeom>
          <a:avLst/>
          <a:gdLst/>
          <a:ahLst/>
          <a:cxnLst/>
          <a:rect l="0" t="0" r="0" b="0"/>
          <a:pathLst>
            <a:path>
              <a:moveTo>
                <a:pt x="498063" y="2214165"/>
              </a:moveTo>
              <a:arcTo wR="1227106" hR="1227106" stAng="7586976" swAng="1633936"/>
            </a:path>
          </a:pathLst>
        </a:custGeom>
        <a:noFill/>
        <a:ln w="38100" cap="flat" cmpd="sng" algn="ctr">
          <a:solidFill>
            <a:schemeClr val="accent5"/>
          </a:solidFill>
          <a:prstDash val="solid"/>
          <a:tailEnd type="triangle"/>
        </a:ln>
        <a:effectLst>
          <a:outerShdw blurRad="40000" dist="23000" dir="5400000" rotWithShape="0">
            <a:srgbClr val="000000">
              <a:alpha val="35000"/>
            </a:srgbClr>
          </a:outerShdw>
        </a:effectLst>
      </dsp:spPr>
      <dsp:style>
        <a:lnRef idx="3">
          <a:schemeClr val="accent5"/>
        </a:lnRef>
        <a:fillRef idx="0">
          <a:schemeClr val="accent5"/>
        </a:fillRef>
        <a:effectRef idx="2">
          <a:schemeClr val="accent5"/>
        </a:effectRef>
        <a:fontRef idx="minor">
          <a:schemeClr val="tx1"/>
        </a:fontRef>
      </dsp:style>
    </dsp:sp>
    <dsp:sp modelId="{7D20DD11-71F1-499E-96BB-DE5D14CFC10A}">
      <dsp:nvSpPr>
        <dsp:cNvPr id="0" name=""/>
        <dsp:cNvSpPr/>
      </dsp:nvSpPr>
      <dsp:spPr>
        <a:xfrm>
          <a:off x="843241" y="1228870"/>
          <a:ext cx="1401810" cy="742659"/>
        </a:xfrm>
        <a:prstGeom prst="roundRect">
          <a:avLst/>
        </a:prstGeom>
        <a:solidFill>
          <a:schemeClr val="accent5">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Calibri"/>
              <a:ea typeface="+mn-ea"/>
              <a:cs typeface="+mn-cs"/>
            </a:rPr>
            <a:t>4. Monitoring</a:t>
          </a:r>
        </a:p>
        <a:p>
          <a:pPr lvl="0" algn="ctr" defTabSz="533400">
            <a:lnSpc>
              <a:spcPct val="90000"/>
            </a:lnSpc>
            <a:spcBef>
              <a:spcPct val="0"/>
            </a:spcBef>
            <a:spcAft>
              <a:spcPct val="35000"/>
            </a:spcAft>
          </a:pPr>
          <a:r>
            <a:rPr lang="en-GB" sz="900" kern="1200">
              <a:solidFill>
                <a:sysClr val="window" lastClr="FFFFFF"/>
              </a:solidFill>
              <a:latin typeface="Calibri"/>
              <a:ea typeface="+mn-ea"/>
              <a:cs typeface="+mn-cs"/>
            </a:rPr>
            <a:t>has the situation changed and are the mitigation measures working?</a:t>
          </a:r>
        </a:p>
      </dsp:txBody>
      <dsp:txXfrm>
        <a:off x="843241" y="1228870"/>
        <a:ext cx="1401810" cy="742659"/>
      </dsp:txXfrm>
    </dsp:sp>
    <dsp:sp modelId="{2B71B88F-E712-4EA1-A129-8CFE33A7B65C}">
      <dsp:nvSpPr>
        <dsp:cNvPr id="0" name=""/>
        <dsp:cNvSpPr/>
      </dsp:nvSpPr>
      <dsp:spPr>
        <a:xfrm>
          <a:off x="1544146" y="373093"/>
          <a:ext cx="2454212" cy="2454212"/>
        </a:xfrm>
        <a:custGeom>
          <a:avLst/>
          <a:gdLst/>
          <a:ahLst/>
          <a:cxnLst/>
          <a:rect l="0" t="0" r="0" b="0"/>
          <a:pathLst>
            <a:path>
              <a:moveTo>
                <a:pt x="127194" y="683062"/>
              </a:moveTo>
              <a:arcTo wR="1227106" hR="1227106" stAng="12379087" swAng="1633936"/>
            </a:path>
          </a:pathLst>
        </a:custGeom>
        <a:noFill/>
        <a:ln w="38100" cap="flat" cmpd="sng" algn="ctr">
          <a:solidFill>
            <a:schemeClr val="accent5"/>
          </a:solidFill>
          <a:prstDash val="solid"/>
          <a:tailEnd type="triangle"/>
        </a:ln>
        <a:effectLst>
          <a:outerShdw blurRad="40000" dist="23000" dir="5400000" rotWithShape="0">
            <a:srgbClr val="000000">
              <a:alpha val="35000"/>
            </a:srgbClr>
          </a:outerShdw>
        </a:effectLst>
      </dsp:spPr>
      <dsp:style>
        <a:lnRef idx="3">
          <a:schemeClr val="accent5"/>
        </a:lnRef>
        <a:fillRef idx="0">
          <a:schemeClr val="accent5"/>
        </a:fillRef>
        <a:effectRef idx="2">
          <a:schemeClr val="accent5"/>
        </a:effectRef>
        <a:fontRef idx="minor">
          <a:schemeClr val="tx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C4C10A-20D5-488B-84B7-4E15F206C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38</Pages>
  <Words>7934</Words>
  <Characters>45229</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53057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Paulmo01</dc:creator>
  <cp:lastModifiedBy>Paulmo01</cp:lastModifiedBy>
  <cp:revision>4</cp:revision>
  <cp:lastPrinted>2015-02-16T16:34:00Z</cp:lastPrinted>
  <dcterms:created xsi:type="dcterms:W3CDTF">2017-01-30T11:37:00Z</dcterms:created>
  <dcterms:modified xsi:type="dcterms:W3CDTF">2017-02-08T15:04:00Z</dcterms:modified>
</cp:coreProperties>
</file>